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91" w:rsidRPr="00362B91" w:rsidRDefault="00362B91" w:rsidP="00362B91">
      <w:pPr>
        <w:tabs>
          <w:tab w:val="left" w:pos="851"/>
        </w:tabs>
        <w:ind w:left="993" w:firstLine="567"/>
        <w:rPr>
          <w:rFonts w:ascii="Times New Roman" w:hAnsi="Times New Roman" w:cs="Times New Roman"/>
          <w:b/>
          <w:sz w:val="24"/>
          <w:szCs w:val="24"/>
        </w:rPr>
      </w:pPr>
      <w:r w:rsidRPr="00362B91">
        <w:rPr>
          <w:rFonts w:ascii="Times New Roman" w:hAnsi="Times New Roman" w:cs="Times New Roman"/>
          <w:b/>
          <w:sz w:val="24"/>
          <w:szCs w:val="24"/>
        </w:rPr>
        <w:t>Исторический аспект и аллюзии в анализе произведения</w:t>
      </w:r>
    </w:p>
    <w:p w:rsidR="00362B91" w:rsidRPr="00362B91" w:rsidRDefault="00362B91" w:rsidP="00362B91">
      <w:pPr>
        <w:tabs>
          <w:tab w:val="left" w:pos="851"/>
        </w:tabs>
        <w:ind w:left="993" w:firstLine="567"/>
        <w:rPr>
          <w:rFonts w:ascii="Times New Roman" w:hAnsi="Times New Roman" w:cs="Times New Roman"/>
          <w:b/>
          <w:sz w:val="24"/>
          <w:szCs w:val="24"/>
        </w:rPr>
      </w:pPr>
      <w:r w:rsidRPr="00362B91">
        <w:rPr>
          <w:rFonts w:ascii="Times New Roman" w:hAnsi="Times New Roman" w:cs="Times New Roman"/>
          <w:b/>
          <w:sz w:val="24"/>
          <w:szCs w:val="24"/>
        </w:rPr>
        <w:t>(выступление на заседании Ассоциации 28 марта 2018 года)</w:t>
      </w:r>
    </w:p>
    <w:p w:rsidR="00362B91" w:rsidRPr="00362B91" w:rsidRDefault="00362B91" w:rsidP="00362B91">
      <w:pPr>
        <w:tabs>
          <w:tab w:val="left" w:pos="851"/>
        </w:tabs>
        <w:ind w:left="993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2B91">
        <w:rPr>
          <w:rFonts w:ascii="Times New Roman" w:hAnsi="Times New Roman" w:cs="Times New Roman"/>
          <w:i/>
          <w:sz w:val="24"/>
          <w:szCs w:val="24"/>
        </w:rPr>
        <w:t>Алексеева И.В. , учитель МБОУ «Гимназия №1» г. Ядрин</w:t>
      </w:r>
    </w:p>
    <w:p w:rsidR="00362B91" w:rsidRPr="00362B91" w:rsidRDefault="00362B91" w:rsidP="00362B91">
      <w:pPr>
        <w:tabs>
          <w:tab w:val="left" w:pos="851"/>
        </w:tabs>
        <w:ind w:left="993" w:firstLine="567"/>
        <w:rPr>
          <w:rFonts w:ascii="Times New Roman" w:hAnsi="Times New Roman" w:cs="Times New Roman"/>
          <w:sz w:val="24"/>
          <w:szCs w:val="24"/>
        </w:rPr>
      </w:pPr>
      <w:r w:rsidRPr="00362B91">
        <w:rPr>
          <w:rFonts w:ascii="Times New Roman" w:hAnsi="Times New Roman" w:cs="Times New Roman"/>
          <w:sz w:val="24"/>
          <w:szCs w:val="24"/>
        </w:rPr>
        <w:t xml:space="preserve">Сегодня перед современным образованием стоит задача – приобщить учащихся к научно-исследовательской и экспериментальной деятельности, воспитывать высокообразованную личность с активной жизненной позицией, способной конкурировать на международном уровне. Немаловажную роль играют здесь современные образовательные технологии. Их использование также важно потому, что они во многом личностно-ориентированные, выявляют, прежде всего, особенности учащихся, содействует развитию и проявлению личностных качеств учащихся, формированию его индивидуальности, способности к нравственной и творческой реализации своих возможностей.   </w:t>
      </w:r>
    </w:p>
    <w:p w:rsidR="00362B91" w:rsidRPr="00362B91" w:rsidRDefault="00362B91" w:rsidP="00362B91">
      <w:pPr>
        <w:tabs>
          <w:tab w:val="left" w:pos="851"/>
        </w:tabs>
        <w:ind w:left="993" w:firstLine="567"/>
        <w:rPr>
          <w:rFonts w:ascii="Times New Roman" w:hAnsi="Times New Roman" w:cs="Times New Roman"/>
          <w:sz w:val="24"/>
          <w:szCs w:val="24"/>
        </w:rPr>
      </w:pPr>
      <w:r w:rsidRPr="00362B91">
        <w:rPr>
          <w:rFonts w:ascii="Times New Roman" w:hAnsi="Times New Roman" w:cs="Times New Roman"/>
          <w:sz w:val="24"/>
          <w:szCs w:val="24"/>
        </w:rPr>
        <w:t xml:space="preserve">Технология проблемного обучения  позволяет оживить и активизировать учебный процесс, способствует формированию нравственного воспитания учащихся, учит проникать в суть изучаемого произведения, выявлять не только идею, проблему  художественного произведения, но и определять значение средств художественной выразительности. Суть проблемного обучения в том, чтобы создавать проблемные ситуации и организовать деятельность учащихся по решению учебной проблемы, обеспечивая оптимальное сочетание самостоятельности учащихся в поисковой деятельности с усвоением  необходимых знаний.   </w:t>
      </w:r>
    </w:p>
    <w:p w:rsidR="00362B91" w:rsidRPr="00362B91" w:rsidRDefault="00362B91" w:rsidP="00362B91">
      <w:pPr>
        <w:tabs>
          <w:tab w:val="left" w:pos="851"/>
        </w:tabs>
        <w:ind w:left="993" w:firstLine="567"/>
        <w:rPr>
          <w:rFonts w:ascii="Times New Roman" w:hAnsi="Times New Roman" w:cs="Times New Roman"/>
          <w:sz w:val="24"/>
          <w:szCs w:val="24"/>
        </w:rPr>
      </w:pPr>
      <w:r w:rsidRPr="00362B91">
        <w:rPr>
          <w:rFonts w:ascii="Times New Roman" w:hAnsi="Times New Roman" w:cs="Times New Roman"/>
          <w:sz w:val="24"/>
          <w:szCs w:val="24"/>
        </w:rPr>
        <w:t xml:space="preserve">К методам проблемного обучения относятся проблемное изложение, эвристический и исследовательские методы. Учитель, оставаясь руководителем процесса познания, использует разные методические приемы создания проблемных ситуаций, в том числе  определяет проблемные теоретические и практические задания (например, исследовательские). </w:t>
      </w:r>
    </w:p>
    <w:p w:rsidR="00362B91" w:rsidRPr="00362B91" w:rsidRDefault="00362B91" w:rsidP="00362B91">
      <w:pPr>
        <w:tabs>
          <w:tab w:val="left" w:pos="851"/>
        </w:tabs>
        <w:ind w:left="993" w:firstLine="567"/>
        <w:rPr>
          <w:rFonts w:ascii="Times New Roman" w:hAnsi="Times New Roman" w:cs="Times New Roman"/>
          <w:sz w:val="24"/>
          <w:szCs w:val="24"/>
        </w:rPr>
      </w:pPr>
      <w:r w:rsidRPr="00362B91">
        <w:rPr>
          <w:rFonts w:ascii="Times New Roman" w:hAnsi="Times New Roman" w:cs="Times New Roman"/>
          <w:sz w:val="24"/>
          <w:szCs w:val="24"/>
        </w:rPr>
        <w:t xml:space="preserve">Как отражено  в художественном мире произведения  видение тех или  иных исторических событий и как реализовано это видение автором этого произведения? Это и есть  вопрос роли исторического аспекта в художественном произведении. Аллюзия, как стилистическая фигура, содержащая указание, аналогию или намек в данном случае на исторический или политический факт, закрепленный в текстовой культуре или в разговорной речи,  тоже является художественной деталью произведения и  несет значительную смысловую и идейно-эмоциональную нагрузку. Деталь способна, как вы знаете,  с помощью небольшого текстового объема передать максимальное количество информации, с помощью детали одним или несколькими словами можно получить самое яркое представление о персонаже (его внешности или психологии), интерьере, обстановке. </w:t>
      </w:r>
    </w:p>
    <w:p w:rsidR="00362B91" w:rsidRPr="00362B91" w:rsidRDefault="00362B91" w:rsidP="00362B91">
      <w:pPr>
        <w:tabs>
          <w:tab w:val="left" w:pos="851"/>
        </w:tabs>
        <w:ind w:left="993" w:firstLine="567"/>
        <w:rPr>
          <w:rFonts w:ascii="Times New Roman" w:hAnsi="Times New Roman" w:cs="Times New Roman"/>
          <w:sz w:val="24"/>
          <w:szCs w:val="24"/>
        </w:rPr>
      </w:pPr>
      <w:r w:rsidRPr="00362B91">
        <w:rPr>
          <w:rFonts w:ascii="Times New Roman" w:hAnsi="Times New Roman" w:cs="Times New Roman"/>
          <w:sz w:val="24"/>
          <w:szCs w:val="24"/>
        </w:rPr>
        <w:t xml:space="preserve"> Исторический аспект и аллюзия играют важную роль в анализе произведения. Понимание их смысловой нагрузки достигается тогда, когда происходит определенная исследовательская работа, т.е. изучение материала о тех или иных исторических событиях, масштабных и не совсем значительных, на первый взгляд, воспоминаний свидетелей и </w:t>
      </w:r>
    </w:p>
    <w:p w:rsidR="00362B91" w:rsidRPr="00362B91" w:rsidRDefault="00362B91" w:rsidP="00362B91">
      <w:pPr>
        <w:tabs>
          <w:tab w:val="left" w:pos="851"/>
        </w:tabs>
        <w:ind w:left="993" w:firstLine="567"/>
        <w:rPr>
          <w:rFonts w:ascii="Times New Roman" w:hAnsi="Times New Roman" w:cs="Times New Roman"/>
          <w:sz w:val="24"/>
          <w:szCs w:val="24"/>
        </w:rPr>
      </w:pPr>
      <w:r w:rsidRPr="00362B91">
        <w:rPr>
          <w:rFonts w:ascii="Times New Roman" w:hAnsi="Times New Roman" w:cs="Times New Roman"/>
          <w:sz w:val="24"/>
          <w:szCs w:val="24"/>
        </w:rPr>
        <w:t xml:space="preserve">Мне, как научному руководителю исследовательских работ, интересно работать над художественным подходом к историческим событиям писателей 20-21 веков. Вместе со своими учениками в последние годы мы акцент делали на роли исторического аспекта и аллюзии в исследуемых ими работах по следующим произведениям: роман Д.Бойна «Мальчик в </w:t>
      </w:r>
      <w:r w:rsidRPr="00362B91">
        <w:rPr>
          <w:rFonts w:ascii="Times New Roman" w:hAnsi="Times New Roman" w:cs="Times New Roman"/>
          <w:sz w:val="24"/>
          <w:szCs w:val="24"/>
        </w:rPr>
        <w:lastRenderedPageBreak/>
        <w:t xml:space="preserve">полосатой пижаме», роман М. Зусака «Книжный вор»,  рассказ В. Дёгтева « Крест». Первые два произведения посвящены Второй мировой войне. </w:t>
      </w:r>
    </w:p>
    <w:p w:rsidR="00362B91" w:rsidRPr="00362B91" w:rsidRDefault="00362B91" w:rsidP="00362B91">
      <w:pPr>
        <w:tabs>
          <w:tab w:val="left" w:pos="851"/>
        </w:tabs>
        <w:ind w:left="993" w:firstLine="567"/>
        <w:rPr>
          <w:rFonts w:ascii="Times New Roman" w:hAnsi="Times New Roman" w:cs="Times New Roman"/>
          <w:sz w:val="24"/>
          <w:szCs w:val="24"/>
        </w:rPr>
      </w:pPr>
      <w:r w:rsidRPr="00362B91">
        <w:rPr>
          <w:rFonts w:ascii="Times New Roman" w:hAnsi="Times New Roman" w:cs="Times New Roman"/>
          <w:sz w:val="24"/>
          <w:szCs w:val="24"/>
        </w:rPr>
        <w:t>Роман Д. Бойна – книга  об Освенциме, но со смещенным ракурсом. Это мир нацистского концлагеря для евреев глазами ребенка – сына немецкого коменданта. Здесь проводится параллель с историей Аушвица; сравниваются эпизоды романа с историческими фактами, отражающими сущность политики фашизма.</w:t>
      </w:r>
    </w:p>
    <w:p w:rsidR="00362B91" w:rsidRPr="00362B91" w:rsidRDefault="00362B91" w:rsidP="00362B91">
      <w:pPr>
        <w:tabs>
          <w:tab w:val="left" w:pos="851"/>
        </w:tabs>
        <w:ind w:left="993" w:firstLine="567"/>
        <w:rPr>
          <w:rFonts w:ascii="Times New Roman" w:hAnsi="Times New Roman" w:cs="Times New Roman"/>
          <w:sz w:val="24"/>
          <w:szCs w:val="24"/>
        </w:rPr>
      </w:pPr>
      <w:r w:rsidRPr="00362B91">
        <w:rPr>
          <w:rFonts w:ascii="Times New Roman" w:hAnsi="Times New Roman" w:cs="Times New Roman"/>
          <w:sz w:val="24"/>
          <w:szCs w:val="24"/>
        </w:rPr>
        <w:t>Книга Маркуса Зусака насыщена мелочами и масштабными аллюзиями на тогдашнюю ситуацию в стране в разгул нацизма. Акции сожжения книг на улицах городка в приступе всеобщего экстаза. Непростые будни простых граждан, на домашнем фронте, в условиях ограниченного обеспечения и боязни постоянных бомбардировок. Внутренние особенности подготовки молодых ребят в молодежных организациях. Социальная сегрегация, расовая нетерпимость. Мобилизация старшего поколения для нужд народного ополчения ближе к концу войны. И все это проходит через детство главной героини романа.</w:t>
      </w:r>
    </w:p>
    <w:p w:rsidR="00362B91" w:rsidRPr="00362B91" w:rsidRDefault="00362B91" w:rsidP="00362B91">
      <w:pPr>
        <w:tabs>
          <w:tab w:val="left" w:pos="851"/>
        </w:tabs>
        <w:ind w:left="993" w:firstLine="567"/>
        <w:rPr>
          <w:rFonts w:ascii="Times New Roman" w:hAnsi="Times New Roman" w:cs="Times New Roman"/>
          <w:sz w:val="24"/>
          <w:szCs w:val="24"/>
        </w:rPr>
      </w:pPr>
      <w:r w:rsidRPr="00362B91">
        <w:rPr>
          <w:rFonts w:ascii="Times New Roman" w:hAnsi="Times New Roman" w:cs="Times New Roman"/>
          <w:sz w:val="24"/>
          <w:szCs w:val="24"/>
        </w:rPr>
        <w:t>Судебные процессы над духовенством в 2</w:t>
      </w:r>
      <w:r w:rsidR="00FE3B45">
        <w:rPr>
          <w:rFonts w:ascii="Times New Roman" w:hAnsi="Times New Roman" w:cs="Times New Roman"/>
          <w:sz w:val="24"/>
          <w:szCs w:val="24"/>
        </w:rPr>
        <w:t>0 годы прошлого века, прошедшие</w:t>
      </w:r>
      <w:r w:rsidRPr="00362B91">
        <w:rPr>
          <w:rFonts w:ascii="Times New Roman" w:hAnsi="Times New Roman" w:cs="Times New Roman"/>
          <w:sz w:val="24"/>
          <w:szCs w:val="24"/>
        </w:rPr>
        <w:t xml:space="preserve"> по всей России. Изъятие церковных ценностей. Репрессии и массовое истребление духовенства Использование  священнослужителей «на благо общества» в трудовых лагерях и ГУЛАГах.  Это одна из трагических страниц истории Советской России – того исторического пути, который выбрал  Иосиф Сталин и его  соратники. </w:t>
      </w:r>
    </w:p>
    <w:p w:rsidR="00362B91" w:rsidRPr="00362B91" w:rsidRDefault="00FE3B45" w:rsidP="00362B91">
      <w:pPr>
        <w:tabs>
          <w:tab w:val="left" w:pos="851"/>
        </w:tabs>
        <w:ind w:left="99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="00362B91" w:rsidRPr="00362B91">
        <w:rPr>
          <w:rFonts w:ascii="Times New Roman" w:hAnsi="Times New Roman" w:cs="Times New Roman"/>
          <w:sz w:val="24"/>
          <w:szCs w:val="24"/>
        </w:rPr>
        <w:t xml:space="preserve"> построении  уроков «Мир за колючей проволокой» по роману «Мальчик в полосатой пижаме» и «Что в исповеди твоей, капитан?» по рассказу «Крест» предусматриваются задания, связанные с исследованием исторических и политических  событий, отраженных в произведениях, и оценкой взгляда на них авторов книг через художественные детали- исторический аспект и аллюзию.</w:t>
      </w:r>
    </w:p>
    <w:p w:rsidR="00362B91" w:rsidRPr="00362B91" w:rsidRDefault="00362B91" w:rsidP="00362B91">
      <w:pPr>
        <w:tabs>
          <w:tab w:val="left" w:pos="851"/>
        </w:tabs>
        <w:ind w:left="993" w:firstLine="567"/>
        <w:rPr>
          <w:rFonts w:ascii="Times New Roman" w:hAnsi="Times New Roman" w:cs="Times New Roman"/>
          <w:sz w:val="24"/>
          <w:szCs w:val="24"/>
        </w:rPr>
      </w:pPr>
      <w:r w:rsidRPr="00362B91">
        <w:rPr>
          <w:rFonts w:ascii="Times New Roman" w:hAnsi="Times New Roman" w:cs="Times New Roman"/>
          <w:sz w:val="24"/>
          <w:szCs w:val="24"/>
        </w:rPr>
        <w:t>Такая работа носит поисковый характер, заставляет обращаться к научным  источникам, справочникам,  развивает пытливую мысль учащихся, формирует внимание к слову, нравственные побуждения, интерес  и любовь к самостоятельным занятиям. Гуковский Г.А. считает, что надо вырабатывать на уроках литературы «настойчивые навыки вдумчивого труда». Только так можно воспитать умного читателя, умеющего отличать искусство от подделки, откликаться на мысль и переживания автора, думать над книгой, что является важной составляющей в  решении основных задач изучения литературы в школе.</w:t>
      </w:r>
    </w:p>
    <w:p w:rsidR="00362B91" w:rsidRPr="00362B91" w:rsidRDefault="00362B91" w:rsidP="00362B91">
      <w:pPr>
        <w:tabs>
          <w:tab w:val="left" w:pos="851"/>
        </w:tabs>
        <w:ind w:left="993" w:firstLine="567"/>
        <w:rPr>
          <w:rFonts w:ascii="Times New Roman" w:hAnsi="Times New Roman" w:cs="Times New Roman"/>
          <w:sz w:val="24"/>
          <w:szCs w:val="24"/>
        </w:rPr>
      </w:pPr>
    </w:p>
    <w:p w:rsidR="00362B91" w:rsidRPr="00362B91" w:rsidRDefault="00362B91" w:rsidP="00362B91">
      <w:pPr>
        <w:tabs>
          <w:tab w:val="left" w:pos="851"/>
        </w:tabs>
        <w:ind w:left="993" w:firstLine="567"/>
        <w:rPr>
          <w:rFonts w:ascii="Times New Roman" w:hAnsi="Times New Roman" w:cs="Times New Roman"/>
          <w:sz w:val="24"/>
          <w:szCs w:val="24"/>
        </w:rPr>
      </w:pPr>
    </w:p>
    <w:p w:rsidR="00362B91" w:rsidRPr="00362B91" w:rsidRDefault="00362B91" w:rsidP="00362B91">
      <w:pPr>
        <w:tabs>
          <w:tab w:val="left" w:pos="851"/>
        </w:tabs>
        <w:ind w:left="993" w:firstLine="567"/>
        <w:rPr>
          <w:rFonts w:ascii="Times New Roman" w:hAnsi="Times New Roman" w:cs="Times New Roman"/>
          <w:sz w:val="24"/>
          <w:szCs w:val="24"/>
        </w:rPr>
      </w:pPr>
    </w:p>
    <w:p w:rsidR="00362B91" w:rsidRPr="00362B91" w:rsidRDefault="00362B91" w:rsidP="00362B91">
      <w:pPr>
        <w:tabs>
          <w:tab w:val="left" w:pos="851"/>
        </w:tabs>
        <w:ind w:left="993" w:firstLine="567"/>
        <w:rPr>
          <w:rFonts w:ascii="Times New Roman" w:hAnsi="Times New Roman" w:cs="Times New Roman"/>
          <w:sz w:val="24"/>
          <w:szCs w:val="24"/>
        </w:rPr>
      </w:pPr>
    </w:p>
    <w:p w:rsidR="00362B91" w:rsidRPr="00362B91" w:rsidRDefault="00362B91" w:rsidP="00362B91">
      <w:pPr>
        <w:tabs>
          <w:tab w:val="left" w:pos="851"/>
        </w:tabs>
        <w:ind w:left="993" w:firstLine="567"/>
        <w:rPr>
          <w:rFonts w:ascii="Times New Roman" w:hAnsi="Times New Roman" w:cs="Times New Roman"/>
          <w:sz w:val="24"/>
          <w:szCs w:val="24"/>
        </w:rPr>
      </w:pPr>
    </w:p>
    <w:p w:rsidR="00362B91" w:rsidRPr="00362B91" w:rsidRDefault="00362B91" w:rsidP="00362B91">
      <w:pPr>
        <w:tabs>
          <w:tab w:val="left" w:pos="851"/>
        </w:tabs>
        <w:ind w:left="993" w:firstLine="567"/>
        <w:rPr>
          <w:rFonts w:ascii="Times New Roman" w:hAnsi="Times New Roman" w:cs="Times New Roman"/>
          <w:sz w:val="24"/>
          <w:szCs w:val="24"/>
        </w:rPr>
      </w:pPr>
    </w:p>
    <w:p w:rsidR="00362B91" w:rsidRPr="00362B91" w:rsidRDefault="00362B91" w:rsidP="00362B91">
      <w:pPr>
        <w:tabs>
          <w:tab w:val="left" w:pos="851"/>
        </w:tabs>
        <w:ind w:left="993" w:firstLine="567"/>
        <w:rPr>
          <w:rFonts w:ascii="Times New Roman" w:hAnsi="Times New Roman" w:cs="Times New Roman"/>
          <w:sz w:val="24"/>
          <w:szCs w:val="24"/>
        </w:rPr>
      </w:pPr>
    </w:p>
    <w:p w:rsidR="00362B91" w:rsidRPr="00362B91" w:rsidRDefault="00362B91" w:rsidP="00362B91">
      <w:pPr>
        <w:tabs>
          <w:tab w:val="left" w:pos="851"/>
        </w:tabs>
        <w:ind w:left="993" w:firstLine="567"/>
        <w:rPr>
          <w:rFonts w:ascii="Times New Roman" w:hAnsi="Times New Roman" w:cs="Times New Roman"/>
          <w:sz w:val="24"/>
          <w:szCs w:val="24"/>
        </w:rPr>
      </w:pPr>
      <w:r w:rsidRPr="00362B91">
        <w:rPr>
          <w:rFonts w:ascii="Times New Roman" w:hAnsi="Times New Roman" w:cs="Times New Roman"/>
          <w:sz w:val="24"/>
          <w:szCs w:val="24"/>
        </w:rPr>
        <w:lastRenderedPageBreak/>
        <w:t>Аспект (от лат. aspectus — вид, облик, взгляд, точка зрения) — одна из сторон рассматриваемого объекта, то, как он видится с определённой точки зрения.</w:t>
      </w:r>
    </w:p>
    <w:p w:rsidR="00B57C0B" w:rsidRPr="00362B91" w:rsidRDefault="00362B91" w:rsidP="00362B91">
      <w:pPr>
        <w:tabs>
          <w:tab w:val="left" w:pos="851"/>
        </w:tabs>
        <w:ind w:left="993" w:firstLine="567"/>
        <w:rPr>
          <w:rFonts w:ascii="Times New Roman" w:hAnsi="Times New Roman" w:cs="Times New Roman"/>
          <w:sz w:val="24"/>
          <w:szCs w:val="24"/>
        </w:rPr>
      </w:pPr>
      <w:r w:rsidRPr="00362B91">
        <w:rPr>
          <w:rFonts w:ascii="Times New Roman" w:hAnsi="Times New Roman" w:cs="Times New Roman"/>
          <w:sz w:val="24"/>
          <w:szCs w:val="24"/>
        </w:rPr>
        <w:t>Аллю́зия (лат. allusio «намёк, шутка») — стилистическая фигура, содержащая указание, аналогию или намёк на некий литературный, исторический, мифологический или политический факт, закреплённый в текстовой культуре или в разговорной речи. Материалом при формулировке аналогии или намёка, образующего аллюзию, часто служит общеизвестное историческое высказывание или какая-либо крылатая фраза.</w:t>
      </w:r>
    </w:p>
    <w:sectPr w:rsidR="00B57C0B" w:rsidRPr="00362B91" w:rsidSect="0059558E">
      <w:pgSz w:w="11906" w:h="16838"/>
      <w:pgMar w:top="1134" w:right="851" w:bottom="113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0F"/>
    <w:rsid w:val="00342F0F"/>
    <w:rsid w:val="00362B91"/>
    <w:rsid w:val="00447FD1"/>
    <w:rsid w:val="0059558E"/>
    <w:rsid w:val="00FA3661"/>
    <w:rsid w:val="00FE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DA7F"/>
  <w15:docId w15:val="{91005817-CFFE-42F3-B6AE-443FDCA3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896</Words>
  <Characters>5113</Characters>
  <Application>Microsoft Office Word</Application>
  <DocSecurity>0</DocSecurity>
  <Lines>42</Lines>
  <Paragraphs>11</Paragraphs>
  <ScaleCrop>false</ScaleCrop>
  <Company>Krokoz™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Ирина</cp:lastModifiedBy>
  <cp:revision>3</cp:revision>
  <dcterms:created xsi:type="dcterms:W3CDTF">2018-03-25T09:27:00Z</dcterms:created>
  <dcterms:modified xsi:type="dcterms:W3CDTF">2023-09-11T18:07:00Z</dcterms:modified>
</cp:coreProperties>
</file>