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BA" w:rsidRPr="00FE5B75" w:rsidRDefault="009255F6" w:rsidP="00FE5B75">
      <w:pPr>
        <w:pStyle w:val="11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ВВЕДЕНИЕ СИСТЕМЫ ШТРАФОВ КАК ПОВЫШЕНИЕ ЭФФЕКТИВНОСТИ ГРУЗОВЫХ ПЕРЕВОЗОК</w:t>
      </w:r>
    </w:p>
    <w:bookmarkEnd w:id="0"/>
    <w:p w:rsidR="001C4D77" w:rsidRPr="00FE5B75" w:rsidRDefault="009255F6" w:rsidP="00FE5B75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Бартия Аделина Зурабовна </w:t>
      </w:r>
    </w:p>
    <w:p w:rsidR="00BE6104" w:rsidRPr="00FE5B75" w:rsidRDefault="00BE6104" w:rsidP="00FE5B75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5B75">
        <w:rPr>
          <w:rFonts w:ascii="Times New Roman" w:hAnsi="Times New Roman" w:cs="Times New Roman"/>
          <w:i/>
          <w:sz w:val="28"/>
          <w:szCs w:val="28"/>
        </w:rPr>
        <w:t xml:space="preserve">Магистрант, кафедра «Логистика и управления транспортными системами» </w:t>
      </w:r>
    </w:p>
    <w:p w:rsidR="001C4D77" w:rsidRPr="00FE5B75" w:rsidRDefault="001C4D77" w:rsidP="00FE5B75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5B75">
        <w:rPr>
          <w:rFonts w:ascii="Times New Roman" w:hAnsi="Times New Roman" w:cs="Times New Roman"/>
          <w:i/>
          <w:sz w:val="28"/>
          <w:szCs w:val="28"/>
        </w:rPr>
        <w:t>Российский университет транспорта</w:t>
      </w:r>
      <w:r w:rsidR="00BE6104" w:rsidRPr="00FE5B75">
        <w:rPr>
          <w:rFonts w:ascii="Times New Roman" w:hAnsi="Times New Roman" w:cs="Times New Roman"/>
          <w:i/>
          <w:sz w:val="28"/>
          <w:szCs w:val="28"/>
        </w:rPr>
        <w:t xml:space="preserve"> (МИИТ)</w:t>
      </w:r>
    </w:p>
    <w:p w:rsidR="00BE6104" w:rsidRPr="00FE5B75" w:rsidRDefault="00BE6104" w:rsidP="00FE5B75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E5B75">
        <w:rPr>
          <w:rFonts w:ascii="Times New Roman" w:hAnsi="Times New Roman" w:cs="Times New Roman"/>
          <w:i/>
          <w:sz w:val="28"/>
          <w:szCs w:val="28"/>
        </w:rPr>
        <w:t>Россия, г. Москва</w:t>
      </w:r>
    </w:p>
    <w:p w:rsidR="000F6B96" w:rsidRPr="009255F6" w:rsidRDefault="001C4D77" w:rsidP="00FE5B75">
      <w:pPr>
        <w:pStyle w:val="Default"/>
        <w:spacing w:line="360" w:lineRule="auto"/>
        <w:ind w:firstLine="709"/>
        <w:jc w:val="right"/>
        <w:rPr>
          <w:i/>
          <w:color w:val="auto"/>
          <w:sz w:val="28"/>
          <w:szCs w:val="28"/>
          <w:lang w:val="en-US"/>
        </w:rPr>
      </w:pPr>
      <w:r w:rsidRPr="00FE5B75">
        <w:rPr>
          <w:i/>
          <w:color w:val="auto"/>
          <w:sz w:val="28"/>
          <w:szCs w:val="28"/>
          <w:lang w:val="en-US"/>
        </w:rPr>
        <w:t xml:space="preserve">e–mail: </w:t>
      </w:r>
      <w:r w:rsidR="009255F6">
        <w:rPr>
          <w:i/>
          <w:sz w:val="28"/>
          <w:szCs w:val="28"/>
          <w:lang w:val="en-US"/>
        </w:rPr>
        <w:t>Bartiya_adelina@mail</w:t>
      </w:r>
      <w:r w:rsidR="009255F6" w:rsidRPr="009255F6">
        <w:rPr>
          <w:i/>
          <w:sz w:val="28"/>
          <w:szCs w:val="28"/>
          <w:lang w:val="en-US"/>
        </w:rPr>
        <w:t>.ru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55F6">
        <w:rPr>
          <w:rFonts w:ascii="Times New Roman" w:hAnsi="Times New Roman" w:cs="Times New Roman"/>
          <w:sz w:val="28"/>
          <w:szCs w:val="28"/>
        </w:rPr>
        <w:t>редмет договора перевозки состоит в следующем (ст. 785 ГК РФ): перевозчик обязуется доставить вверенный ему отправителем груз в пункт назначения и выдать его управомоченному на получение груза лицу (получателю), а отправитель обязуется уплатить за перевозку груза установленную плату. Плата за перевозку грузов определяется соглашением сторон, если иное не предусмотрено законом или другими правовыми актами (ст. 790 ГК РФ).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Как известно (п. 2 ст. 784 ГК РФ)23, общие условия перевозки устанавливаются транспортными уставами и кодексами, иными законами и издаваемыми согласно им правилами. Так, ч. 1 ст. 9 Устава автомобильного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транспорта регламентировано, что перевозчик обязан предоставить в сроки, определенные договором, транспортные средства, контейнеры, пригодные для перевозок соответствующего груза24. Одновременно грузоотправитель обязан предъявить перевозчику соответствующий груз, и если он это делает с опозданием, то груз автоматически считается непредъявленным к перевозке (п. 1 ч. 4 ст. 10 обозначенного Устава).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предъявление груза к перевозке дает перевозчику право отказаться от исполнения договора и требовать с грузоотправителя уплаты штрафа в размере 20% провозной платы, если иное не установлено договором перевозки груза, плюс компенсации своих убытков (ч. 5 ст. 10 и ч. 1 ст. 35 Устава автомобильного транспорта).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lastRenderedPageBreak/>
        <w:t>Последствия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предъявления груза к перевозке и простоя транспортных средств различны. Так, в силу ч. 4 ст. 35 Устава автомобильного транспорта за задержку (простой) транспортных средств, поданных под погрузку, выгрузку, грузоотправитель, грузополучатель уплачивают за каждый полный час задержки (простоя) штраф в размере, установленном договором перевозки груза, а в случае, если размер указанного штрафа в договоре перевозки груза не определен, в размере: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1. 5% провозной платы при перевозке в городском или пригородном сообщении;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2. 1% среднесуточной провозной платы при перевозке в междугородном сообщении, предусмотренной в соответствии с установленным договором сроком выполнения соответствующей перевозки.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Важно, что штраф за задержку (простой) транспортных средств взыскивается независимо от штрафа за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предъявление грузов к перевозке, а сам факт простоя не является поводом для отказа от исполнения перевозки груза. На основании изложенного можно сделать вывод, что согласно общим правилам о перевозке, установленным на уровне федерального законодательства,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предъявление груза клиентом, равно простой по вине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>клиента транспортных средств, чревато для последнего штрафными санкциями. В свою очередь, штраф – это один из способов обеспечения обязательства по ст. 330 гл. 23 ГК РФ, а не элемент цены договора.</w:t>
      </w:r>
    </w:p>
    <w:p w:rsid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Однако только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F6">
        <w:rPr>
          <w:rFonts w:ascii="Times New Roman" w:hAnsi="Times New Roman" w:cs="Times New Roman"/>
          <w:sz w:val="28"/>
          <w:szCs w:val="28"/>
        </w:rPr>
        <w:t xml:space="preserve">предъявление груза к перевозке дает перевозчику право расторгнуть договор, а простой транспортного средства лишь увеличивает платежи грузоотправителя по договору. То есть неподача груза и простой транспортного средства имеют разные правовые последствия, </w:t>
      </w:r>
      <w:r w:rsidRPr="009255F6">
        <w:rPr>
          <w:rFonts w:ascii="Times New Roman" w:hAnsi="Times New Roman" w:cs="Times New Roman"/>
          <w:sz w:val="28"/>
          <w:szCs w:val="28"/>
        </w:rPr>
        <w:lastRenderedPageBreak/>
        <w:t>следовательно, и плата за то и другое нарушения имеет разную смысловую нагрузку, разную сущность.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Многие испытывают большие затруднения при квалификации платы за простой, это хорошо видно на примере Письма Минфина России от 01.04.2014 N 03-08-05/14440. В нем компания-исполнитель, оказывающая услуги по транспортировке грузов по договору транспортной экспедиции, подробно описала бизнес-процессы своей деятельности. Так, под транспортировкой груза в договоре подразумевается услуга, осуществляемая в несколько этапов:</w:t>
      </w:r>
    </w:p>
    <w:p w:rsidR="009255F6" w:rsidRPr="00E13E80" w:rsidRDefault="009255F6" w:rsidP="00E13E80">
      <w:pPr>
        <w:pStyle w:val="a4"/>
        <w:numPr>
          <w:ilvl w:val="0"/>
          <w:numId w:val="11"/>
        </w:numPr>
        <w:rPr>
          <w:szCs w:val="28"/>
        </w:rPr>
      </w:pPr>
      <w:r w:rsidRPr="00E13E80">
        <w:rPr>
          <w:szCs w:val="28"/>
        </w:rPr>
        <w:t>прибытие транспортного средства на место погрузки;</w:t>
      </w:r>
    </w:p>
    <w:p w:rsidR="009255F6" w:rsidRPr="00E13E80" w:rsidRDefault="009255F6" w:rsidP="00E13E80">
      <w:pPr>
        <w:pStyle w:val="a4"/>
        <w:numPr>
          <w:ilvl w:val="0"/>
          <w:numId w:val="11"/>
        </w:numPr>
        <w:rPr>
          <w:szCs w:val="28"/>
        </w:rPr>
      </w:pPr>
      <w:r w:rsidRPr="00E13E80">
        <w:rPr>
          <w:szCs w:val="28"/>
        </w:rPr>
        <w:t>процесс загрузки/выгрузки транспортного средства в течение определенного количества часов, установленных договором (что соответствует содержанию ст. 791 ГК РФ и ст. 11 Устава автомобильного транспорта);</w:t>
      </w:r>
    </w:p>
    <w:p w:rsidR="009255F6" w:rsidRPr="00E13E80" w:rsidRDefault="009255F6" w:rsidP="00E13E80">
      <w:pPr>
        <w:pStyle w:val="a4"/>
        <w:numPr>
          <w:ilvl w:val="0"/>
          <w:numId w:val="11"/>
        </w:numPr>
        <w:rPr>
          <w:szCs w:val="28"/>
        </w:rPr>
      </w:pPr>
      <w:r w:rsidRPr="00E13E80">
        <w:rPr>
          <w:szCs w:val="28"/>
        </w:rPr>
        <w:t>перевозка груза в транспортном средстве до места выгрузки.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При этом под процессом загрузки/выгрузки транспортного средства понимается нахождение транспортного средства на территории места погрузки или выгрузки, с тем чтобы грузоотправитель или грузополучатель имели возможность самостоятельно произвести манипуляции с грузом. Простой фиксируется тогда, когда загрузка/выгрузка длится сверх оговоренных договором часов (превышает установленный лимит). Штраф за простой взимается при своевременном прибытии транспортного средства на погрузку/разгрузку и убытии с опозданием графика (ввиду превышения лимита времени, отведенного для погрузочных/разгрузочных работ). Величина штрафа установлена договором за каждый час простоя.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 xml:space="preserve">В описанной ситуации Минфин счел правомерным включение сумм штрафа в налоговую базу по НДС, то есть фактически расценил </w:t>
      </w:r>
      <w:r w:rsidRPr="009255F6">
        <w:rPr>
          <w:rFonts w:ascii="Times New Roman" w:hAnsi="Times New Roman" w:cs="Times New Roman"/>
          <w:sz w:val="28"/>
          <w:szCs w:val="28"/>
        </w:rPr>
        <w:lastRenderedPageBreak/>
        <w:t>определенную договором плату за простой как сумму, "встроенную" в структуру цены транспортировки (элемент ценообразования услуги).</w:t>
      </w:r>
    </w:p>
    <w:p w:rsidR="009255F6" w:rsidRP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По мнению автора, отказ от исчисления НДС с платы за простой – риск транспортной компании для успешного прохождения процедур налогового контроля. Однако при исчислении НДС с сумм штрафов перевозчик, с одной стороны, обеспечивает лояльность налоговиков, а с другой – создает дополнительные сложности для своих клиентов, так как вычеты НДС с величины штрафных санкций вызывают нарекания проверяющих.</w:t>
      </w:r>
    </w:p>
    <w:p w:rsidR="009255F6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Например, использование в договоре таких формулировок, как "стоимость простоя автомобилей при перевозке грузов за час составляет 118 руб. (в том числе НДС – 18%)", дает инспекторам основания исключить из расчета налога вычеты по суммам штрафных санкций. А основания те же: суммы неустоек (штрафов) не увеличивают налоговую базу у перевозчика в качестве сумм, связанных с оказанием услуги, и вряд ли кто-то будет разбираться, не является ли предъявленный к уплате штраф полноценной составляющей провозной платы. Согласно общим положениям Налогового кодекса о налоговых вычетах (см. ст. ст. 171 и 172) заказчик услуг имеет право на вычет НДС, предъявленного исполнителем, при соблюдении следующих условий:</w:t>
      </w:r>
    </w:p>
    <w:p w:rsidR="009255F6" w:rsidRPr="009255F6" w:rsidRDefault="009255F6" w:rsidP="009255F6">
      <w:pPr>
        <w:pStyle w:val="a4"/>
        <w:numPr>
          <w:ilvl w:val="0"/>
          <w:numId w:val="10"/>
        </w:numPr>
        <w:rPr>
          <w:szCs w:val="28"/>
        </w:rPr>
      </w:pPr>
      <w:r w:rsidRPr="009255F6">
        <w:rPr>
          <w:szCs w:val="28"/>
        </w:rPr>
        <w:t>наличие счета-фактуры и первичных документов;</w:t>
      </w:r>
    </w:p>
    <w:p w:rsidR="009255F6" w:rsidRPr="009255F6" w:rsidRDefault="009255F6" w:rsidP="009255F6">
      <w:pPr>
        <w:pStyle w:val="a4"/>
        <w:numPr>
          <w:ilvl w:val="0"/>
          <w:numId w:val="10"/>
        </w:numPr>
        <w:rPr>
          <w:szCs w:val="28"/>
        </w:rPr>
      </w:pPr>
      <w:r w:rsidRPr="009255F6">
        <w:rPr>
          <w:szCs w:val="28"/>
        </w:rPr>
        <w:t>принятие к учету транспортных услуг;</w:t>
      </w:r>
    </w:p>
    <w:p w:rsidR="009255F6" w:rsidRPr="009255F6" w:rsidRDefault="009255F6" w:rsidP="009255F6">
      <w:pPr>
        <w:pStyle w:val="a4"/>
        <w:numPr>
          <w:ilvl w:val="0"/>
          <w:numId w:val="10"/>
        </w:numPr>
        <w:rPr>
          <w:szCs w:val="28"/>
        </w:rPr>
      </w:pPr>
      <w:r w:rsidRPr="009255F6">
        <w:rPr>
          <w:szCs w:val="28"/>
        </w:rPr>
        <w:t>использование приобретенных услуг в операциях, облагаемых НДС.</w:t>
      </w:r>
    </w:p>
    <w:p w:rsidR="006C422D" w:rsidRDefault="009255F6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F6">
        <w:rPr>
          <w:rFonts w:ascii="Times New Roman" w:hAnsi="Times New Roman" w:cs="Times New Roman"/>
          <w:sz w:val="28"/>
          <w:szCs w:val="28"/>
        </w:rPr>
        <w:t>Если в договоре, первичных документах и счете-фактуре провозная плата указана отдельно от штрафных санкций, то сомнительность налогового вычета велика, так как суммы штрафов не принимаются к учету в качестве товаров (работ, услуг) и уж тем более не используются</w:t>
      </w:r>
      <w:r w:rsidR="00E13E80">
        <w:rPr>
          <w:rFonts w:ascii="Times New Roman" w:hAnsi="Times New Roman" w:cs="Times New Roman"/>
          <w:sz w:val="28"/>
          <w:szCs w:val="28"/>
        </w:rPr>
        <w:t xml:space="preserve"> в деятельности, облагаемой НДС.</w:t>
      </w:r>
    </w:p>
    <w:p w:rsidR="00E13E80" w:rsidRPr="002C638A" w:rsidRDefault="00E13E80" w:rsidP="009255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450" w:rsidRPr="00FE5B75" w:rsidRDefault="00BE6104" w:rsidP="00FE5B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B7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9255F6" w:rsidRPr="00C21CBA" w:rsidRDefault="009255F6" w:rsidP="009255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5F6" w:rsidRPr="00C21CBA" w:rsidRDefault="009255F6" w:rsidP="009255F6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Гражданский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кодекс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Российской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Федерации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(часть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вторая)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от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26.01.1996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N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14-ФЗ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(ред.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от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05.12.2017)</w:t>
      </w:r>
      <w:r w:rsidRPr="00C21CBA">
        <w:rPr>
          <w:rFonts w:ascii="Times New Roman" w:hAnsi="Times New Roman"/>
          <w:spacing w:val="2"/>
          <w:sz w:val="28"/>
          <w:szCs w:val="28"/>
        </w:rPr>
        <w:t>.</w:t>
      </w:r>
    </w:p>
    <w:p w:rsidR="009255F6" w:rsidRPr="00C21CBA" w:rsidRDefault="009255F6" w:rsidP="009255F6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Федеральный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закон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от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08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11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2007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N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259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-</w:t>
      </w:r>
      <w:r w:rsidRPr="00C21CBA">
        <w:rPr>
          <w:rStyle w:val="b"/>
          <w:rFonts w:ascii="Times New Roman" w:hAnsi="Times New Roman"/>
          <w:spacing w:val="2"/>
          <w:sz w:val="28"/>
          <w:szCs w:val="28"/>
          <w:shd w:val="clear" w:color="auto" w:fill="FFFFFF"/>
        </w:rPr>
        <w:t>ФЗ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(ред.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от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03.07.2016)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«Устав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автомобильного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транспорта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городского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наземного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электрического</w:t>
      </w:r>
      <w:r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C21CBA">
        <w:rPr>
          <w:rStyle w:val="blk"/>
          <w:rFonts w:ascii="Times New Roman" w:hAnsi="Times New Roman"/>
          <w:spacing w:val="2"/>
          <w:sz w:val="28"/>
          <w:szCs w:val="28"/>
          <w:shd w:val="clear" w:color="auto" w:fill="FFFFFF"/>
        </w:rPr>
        <w:t>транспорта».</w:t>
      </w:r>
    </w:p>
    <w:p w:rsidR="009255F6" w:rsidRPr="00C21CBA" w:rsidRDefault="009255F6" w:rsidP="009255F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Аникин,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производства: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учебник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практикум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магистратуры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Волочиенко,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Серышев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отв.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Аникин.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Издательство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Юрайт,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2017.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454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с.</w:t>
      </w:r>
    </w:p>
    <w:p w:rsidR="009255F6" w:rsidRPr="00C21CBA" w:rsidRDefault="009255F6" w:rsidP="009255F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Афанасьева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Г.: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Специфика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транспортно-логистической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санкций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Финансы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Бизнес.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№3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131-132.</w:t>
      </w:r>
    </w:p>
    <w:p w:rsidR="009255F6" w:rsidRPr="00C21CBA" w:rsidRDefault="009255F6" w:rsidP="009255F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Воронов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Воронов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Международная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логистика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пространств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границ: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аспекты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понятия,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миссии,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целей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задач,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функций,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интегральной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принципов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методов.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Управление.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27–36.</w:t>
      </w:r>
    </w:p>
    <w:p w:rsidR="009255F6" w:rsidRPr="00C21CBA" w:rsidRDefault="009255F6" w:rsidP="009255F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Воронов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эволюции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элементов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цепей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поставок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международной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логистике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Воронов,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Воронов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Логистика.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Проблемы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2013.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№2.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Украина.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Харьков.</w:t>
      </w:r>
    </w:p>
    <w:p w:rsidR="00896450" w:rsidRPr="00FE5B75" w:rsidRDefault="009255F6" w:rsidP="009255F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szCs w:val="28"/>
        </w:rPr>
      </w:pP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Герами,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транспортными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системами.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Транспортное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логистики: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учебник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практикум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академического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Герами,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Колик.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Издательство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Юрайт,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2018.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438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1CB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896450" w:rsidRPr="00FE5B75" w:rsidSect="0029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69" w:rsidRDefault="00731A69" w:rsidP="001C4D77">
      <w:pPr>
        <w:spacing w:after="0" w:line="240" w:lineRule="auto"/>
      </w:pPr>
      <w:r>
        <w:separator/>
      </w:r>
    </w:p>
  </w:endnote>
  <w:endnote w:type="continuationSeparator" w:id="1">
    <w:p w:rsidR="00731A69" w:rsidRDefault="00731A69" w:rsidP="001C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69" w:rsidRDefault="00731A69" w:rsidP="001C4D77">
      <w:pPr>
        <w:spacing w:after="0" w:line="240" w:lineRule="auto"/>
      </w:pPr>
      <w:r>
        <w:separator/>
      </w:r>
    </w:p>
  </w:footnote>
  <w:footnote w:type="continuationSeparator" w:id="1">
    <w:p w:rsidR="00731A69" w:rsidRDefault="00731A69" w:rsidP="001C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863"/>
    <w:multiLevelType w:val="hybridMultilevel"/>
    <w:tmpl w:val="BF2C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5110B"/>
    <w:multiLevelType w:val="hybridMultilevel"/>
    <w:tmpl w:val="1C24D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BE5499"/>
    <w:multiLevelType w:val="hybridMultilevel"/>
    <w:tmpl w:val="BDACE600"/>
    <w:lvl w:ilvl="0" w:tplc="47389216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ABF41F8"/>
    <w:multiLevelType w:val="hybridMultilevel"/>
    <w:tmpl w:val="16C278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39846EE"/>
    <w:multiLevelType w:val="hybridMultilevel"/>
    <w:tmpl w:val="7BEC7736"/>
    <w:lvl w:ilvl="0" w:tplc="67988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86E08"/>
    <w:multiLevelType w:val="hybridMultilevel"/>
    <w:tmpl w:val="7C763FF4"/>
    <w:lvl w:ilvl="0" w:tplc="EB50DB0C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87E31FD"/>
    <w:multiLevelType w:val="hybridMultilevel"/>
    <w:tmpl w:val="CC149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EC57EB"/>
    <w:multiLevelType w:val="hybridMultilevel"/>
    <w:tmpl w:val="7854D27E"/>
    <w:lvl w:ilvl="0" w:tplc="078CE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383A90"/>
    <w:multiLevelType w:val="hybridMultilevel"/>
    <w:tmpl w:val="B30A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056D5"/>
    <w:multiLevelType w:val="hybridMultilevel"/>
    <w:tmpl w:val="B05C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2FD"/>
    <w:rsid w:val="000021E8"/>
    <w:rsid w:val="0000473D"/>
    <w:rsid w:val="000139AA"/>
    <w:rsid w:val="00021894"/>
    <w:rsid w:val="00037387"/>
    <w:rsid w:val="000457F6"/>
    <w:rsid w:val="00066E13"/>
    <w:rsid w:val="0009208B"/>
    <w:rsid w:val="000A2F3C"/>
    <w:rsid w:val="000B7F7D"/>
    <w:rsid w:val="000C4844"/>
    <w:rsid w:val="000D2A4E"/>
    <w:rsid w:val="000E2BBA"/>
    <w:rsid w:val="000F4AAE"/>
    <w:rsid w:val="000F6B96"/>
    <w:rsid w:val="00125295"/>
    <w:rsid w:val="00156B85"/>
    <w:rsid w:val="00194889"/>
    <w:rsid w:val="001A185F"/>
    <w:rsid w:val="001C0755"/>
    <w:rsid w:val="001C4D77"/>
    <w:rsid w:val="001E23C3"/>
    <w:rsid w:val="002076C0"/>
    <w:rsid w:val="002217A6"/>
    <w:rsid w:val="00221A9B"/>
    <w:rsid w:val="00233513"/>
    <w:rsid w:val="00241A63"/>
    <w:rsid w:val="002719EF"/>
    <w:rsid w:val="0028394F"/>
    <w:rsid w:val="00293174"/>
    <w:rsid w:val="002A3D92"/>
    <w:rsid w:val="002C638A"/>
    <w:rsid w:val="002C6C50"/>
    <w:rsid w:val="002C78B3"/>
    <w:rsid w:val="002F485C"/>
    <w:rsid w:val="00336888"/>
    <w:rsid w:val="00364A2B"/>
    <w:rsid w:val="00376603"/>
    <w:rsid w:val="003A436B"/>
    <w:rsid w:val="003F5587"/>
    <w:rsid w:val="00437F6B"/>
    <w:rsid w:val="0044719B"/>
    <w:rsid w:val="0045059E"/>
    <w:rsid w:val="00463093"/>
    <w:rsid w:val="00467D40"/>
    <w:rsid w:val="00481A7E"/>
    <w:rsid w:val="004A23CD"/>
    <w:rsid w:val="004A36AF"/>
    <w:rsid w:val="004C74BA"/>
    <w:rsid w:val="004F2F23"/>
    <w:rsid w:val="005205A0"/>
    <w:rsid w:val="00533C27"/>
    <w:rsid w:val="00533F9C"/>
    <w:rsid w:val="00534E34"/>
    <w:rsid w:val="0054695C"/>
    <w:rsid w:val="005544B8"/>
    <w:rsid w:val="005627EB"/>
    <w:rsid w:val="00576488"/>
    <w:rsid w:val="005C03E4"/>
    <w:rsid w:val="005C04BE"/>
    <w:rsid w:val="005C718C"/>
    <w:rsid w:val="00605A1C"/>
    <w:rsid w:val="0062226C"/>
    <w:rsid w:val="00626D22"/>
    <w:rsid w:val="00685B9E"/>
    <w:rsid w:val="0069211C"/>
    <w:rsid w:val="006C308F"/>
    <w:rsid w:val="006C422D"/>
    <w:rsid w:val="006E0EFE"/>
    <w:rsid w:val="006F73FB"/>
    <w:rsid w:val="00701046"/>
    <w:rsid w:val="00727FFA"/>
    <w:rsid w:val="007315B7"/>
    <w:rsid w:val="00731A69"/>
    <w:rsid w:val="00737802"/>
    <w:rsid w:val="0076037A"/>
    <w:rsid w:val="00786C3D"/>
    <w:rsid w:val="0079102C"/>
    <w:rsid w:val="007A070D"/>
    <w:rsid w:val="007E1F90"/>
    <w:rsid w:val="007E5D83"/>
    <w:rsid w:val="007F3D99"/>
    <w:rsid w:val="0080140D"/>
    <w:rsid w:val="0083047A"/>
    <w:rsid w:val="00896450"/>
    <w:rsid w:val="008C4492"/>
    <w:rsid w:val="009238B0"/>
    <w:rsid w:val="009255F6"/>
    <w:rsid w:val="00961F67"/>
    <w:rsid w:val="00992B70"/>
    <w:rsid w:val="009C1089"/>
    <w:rsid w:val="009D7A59"/>
    <w:rsid w:val="009E4E72"/>
    <w:rsid w:val="009F42AF"/>
    <w:rsid w:val="00A00658"/>
    <w:rsid w:val="00A06C89"/>
    <w:rsid w:val="00A14B5A"/>
    <w:rsid w:val="00A40E97"/>
    <w:rsid w:val="00A626AF"/>
    <w:rsid w:val="00A7433C"/>
    <w:rsid w:val="00AA20F5"/>
    <w:rsid w:val="00AD398F"/>
    <w:rsid w:val="00B272AE"/>
    <w:rsid w:val="00B31E9E"/>
    <w:rsid w:val="00B32E06"/>
    <w:rsid w:val="00B37CE3"/>
    <w:rsid w:val="00B863A9"/>
    <w:rsid w:val="00B90231"/>
    <w:rsid w:val="00BA2BBB"/>
    <w:rsid w:val="00BA480D"/>
    <w:rsid w:val="00BB3A29"/>
    <w:rsid w:val="00BE4813"/>
    <w:rsid w:val="00BE6104"/>
    <w:rsid w:val="00BF6ED3"/>
    <w:rsid w:val="00C11305"/>
    <w:rsid w:val="00C21CD8"/>
    <w:rsid w:val="00C23050"/>
    <w:rsid w:val="00C23F51"/>
    <w:rsid w:val="00C27F9C"/>
    <w:rsid w:val="00C53536"/>
    <w:rsid w:val="00C542B3"/>
    <w:rsid w:val="00CA7141"/>
    <w:rsid w:val="00CC3317"/>
    <w:rsid w:val="00CF1E69"/>
    <w:rsid w:val="00D0426C"/>
    <w:rsid w:val="00D24FBB"/>
    <w:rsid w:val="00D258AB"/>
    <w:rsid w:val="00D53647"/>
    <w:rsid w:val="00D67A1C"/>
    <w:rsid w:val="00D93E28"/>
    <w:rsid w:val="00DB33A9"/>
    <w:rsid w:val="00E022FD"/>
    <w:rsid w:val="00E13E80"/>
    <w:rsid w:val="00E21F1B"/>
    <w:rsid w:val="00E26133"/>
    <w:rsid w:val="00E83735"/>
    <w:rsid w:val="00E837EF"/>
    <w:rsid w:val="00EA2734"/>
    <w:rsid w:val="00ED5B17"/>
    <w:rsid w:val="00ED7A49"/>
    <w:rsid w:val="00EF36A5"/>
    <w:rsid w:val="00F12157"/>
    <w:rsid w:val="00F23976"/>
    <w:rsid w:val="00F23B03"/>
    <w:rsid w:val="00F32A2D"/>
    <w:rsid w:val="00F66DB2"/>
    <w:rsid w:val="00F869D4"/>
    <w:rsid w:val="00FA2FB3"/>
    <w:rsid w:val="00FB192F"/>
    <w:rsid w:val="00FD4876"/>
    <w:rsid w:val="00FD5ADD"/>
    <w:rsid w:val="00FE0184"/>
    <w:rsid w:val="00FE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FD"/>
  </w:style>
  <w:style w:type="paragraph" w:styleId="1">
    <w:name w:val="heading 1"/>
    <w:basedOn w:val="a"/>
    <w:next w:val="a"/>
    <w:link w:val="10"/>
    <w:uiPriority w:val="9"/>
    <w:qFormat/>
    <w:rsid w:val="00E022FD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2FD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3">
    <w:name w:val="No Spacing"/>
    <w:uiPriority w:val="1"/>
    <w:qFormat/>
    <w:rsid w:val="00E022FD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paragraph" w:styleId="a4">
    <w:name w:val="List Paragraph"/>
    <w:basedOn w:val="a"/>
    <w:uiPriority w:val="34"/>
    <w:qFormat/>
    <w:rsid w:val="00E022F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Подпись к таблице (2)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Подпись к таблице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Основной текст (3)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">
    <w:name w:val="Основной текст (7)"/>
    <w:basedOn w:val="a0"/>
    <w:rsid w:val="00E0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styleId="a6">
    <w:name w:val="Normal (Web)"/>
    <w:basedOn w:val="a"/>
    <w:uiPriority w:val="99"/>
    <w:unhideWhenUsed/>
    <w:rsid w:val="001C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8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31E9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styleId="a9">
    <w:name w:val="Table Grid"/>
    <w:basedOn w:val="a1"/>
    <w:uiPriority w:val="59"/>
    <w:rsid w:val="00B31E9E"/>
    <w:pP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4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unhideWhenUsed/>
    <w:rsid w:val="001C4D7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C4D7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4D77"/>
    <w:rPr>
      <w:vertAlign w:val="superscript"/>
    </w:rPr>
  </w:style>
  <w:style w:type="character" w:customStyle="1" w:styleId="w">
    <w:name w:val="w"/>
    <w:basedOn w:val="a0"/>
    <w:rsid w:val="00FB192F"/>
  </w:style>
  <w:style w:type="character" w:styleId="ad">
    <w:name w:val="Hyperlink"/>
    <w:basedOn w:val="a0"/>
    <w:uiPriority w:val="99"/>
    <w:unhideWhenUsed/>
    <w:rsid w:val="00BE6104"/>
    <w:rPr>
      <w:color w:val="0563C1" w:themeColor="hyperlink"/>
      <w:u w:val="single"/>
    </w:rPr>
  </w:style>
  <w:style w:type="character" w:customStyle="1" w:styleId="blk">
    <w:name w:val="blk"/>
    <w:rsid w:val="009255F6"/>
  </w:style>
  <w:style w:type="character" w:customStyle="1" w:styleId="b">
    <w:name w:val="b"/>
    <w:rsid w:val="0092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592C-C65E-456B-BC48-72585994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3</cp:revision>
  <dcterms:created xsi:type="dcterms:W3CDTF">2018-06-02T09:05:00Z</dcterms:created>
  <dcterms:modified xsi:type="dcterms:W3CDTF">2018-06-02T09:06:00Z</dcterms:modified>
</cp:coreProperties>
</file>