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CC2" w:rsidRDefault="00E07E75" w:rsidP="00E26CB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07E75">
        <w:rPr>
          <w:rFonts w:ascii="Times New Roman" w:hAnsi="Times New Roman" w:cs="Times New Roman"/>
          <w:b/>
          <w:sz w:val="28"/>
          <w:szCs w:val="24"/>
        </w:rPr>
        <w:t>АНАЛИЗ И ПРОГНОЗИРОВАНИЕ ДЕБИТОРСКОЙ ЗАДОЛЖЕННОСТИ НА ПРИМЕРЕ ПАО «АВТОВАЗ»</w:t>
      </w:r>
    </w:p>
    <w:p w:rsidR="0084534B" w:rsidRPr="00F018E9" w:rsidRDefault="00AC313E" w:rsidP="008453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18E9">
        <w:rPr>
          <w:rFonts w:ascii="Times New Roman" w:eastAsia="Times New Roman" w:hAnsi="Times New Roman" w:cs="Times New Roman"/>
          <w:sz w:val="28"/>
          <w:szCs w:val="24"/>
          <w:lang w:eastAsia="ru-RU"/>
        </w:rPr>
        <w:t>Финансы  занимают  особое  место  в  экономических  отношениях</w:t>
      </w:r>
      <w:r w:rsidR="00B72E7B" w:rsidRPr="00F018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F018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Грамотная работа с финансовыми инструментами компании способствует эффективному использованию обладаемыми ресурсами для оптимизации прибыли. Для этого используются механизмы финансового прогнозирования, основанные на анализе </w:t>
      </w:r>
      <w:r w:rsidR="00AA59D4" w:rsidRPr="00F018E9">
        <w:rPr>
          <w:rFonts w:ascii="Times New Roman" w:eastAsia="Times New Roman" w:hAnsi="Times New Roman" w:cs="Times New Roman"/>
          <w:sz w:val="28"/>
          <w:szCs w:val="24"/>
          <w:lang w:eastAsia="ru-RU"/>
        </w:rPr>
        <w:t>бух</w:t>
      </w:r>
      <w:r w:rsidRPr="00F018E9">
        <w:rPr>
          <w:rFonts w:ascii="Times New Roman" w:eastAsia="Times New Roman" w:hAnsi="Times New Roman" w:cs="Times New Roman"/>
          <w:sz w:val="28"/>
          <w:szCs w:val="24"/>
          <w:lang w:eastAsia="ru-RU"/>
        </w:rPr>
        <w:t>галтерии предприятия, то есть на строгих данных</w:t>
      </w:r>
      <w:r w:rsidR="00B72E7B" w:rsidRPr="00F018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деятельности компании.</w:t>
      </w:r>
      <w:r w:rsidR="0084534B" w:rsidRPr="00F018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Поэтому </w:t>
      </w:r>
      <w:r w:rsidR="0084534B" w:rsidRPr="00F018E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цель</w:t>
      </w:r>
      <w:r w:rsidR="0084534B" w:rsidRPr="00F018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нашей работы состоит в анализе основных аспектов и построение прогноза дебиторской задолженности на примере финансовой отчетности завода ПАО «АвтоВАЗ». </w:t>
      </w:r>
      <w:r w:rsidR="0084534B" w:rsidRPr="00F018E9">
        <w:rPr>
          <w:rFonts w:ascii="Times New Roman" w:hAnsi="Times New Roman" w:cs="Times New Roman"/>
          <w:sz w:val="28"/>
          <w:szCs w:val="28"/>
        </w:rPr>
        <w:t xml:space="preserve">Реализация цели исследования предполагает решение следующих </w:t>
      </w:r>
      <w:r w:rsidR="0084534B" w:rsidRPr="00F018E9">
        <w:rPr>
          <w:rFonts w:ascii="Times New Roman" w:hAnsi="Times New Roman" w:cs="Times New Roman"/>
          <w:i/>
          <w:sz w:val="28"/>
          <w:szCs w:val="28"/>
        </w:rPr>
        <w:t>задач</w:t>
      </w:r>
      <w:r w:rsidR="0084534B" w:rsidRPr="00F018E9">
        <w:rPr>
          <w:rFonts w:ascii="Times New Roman" w:hAnsi="Times New Roman" w:cs="Times New Roman"/>
          <w:sz w:val="28"/>
          <w:szCs w:val="28"/>
        </w:rPr>
        <w:t>:</w:t>
      </w:r>
    </w:p>
    <w:p w:rsidR="0084534B" w:rsidRPr="00F018E9" w:rsidRDefault="0084534B" w:rsidP="0084534B">
      <w:pPr>
        <w:pStyle w:val="a3"/>
        <w:numPr>
          <w:ilvl w:val="0"/>
          <w:numId w:val="4"/>
        </w:numPr>
        <w:spacing w:after="0" w:line="36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F018E9">
        <w:rPr>
          <w:rFonts w:ascii="Times New Roman" w:hAnsi="Times New Roman" w:cs="Times New Roman"/>
          <w:sz w:val="28"/>
          <w:szCs w:val="28"/>
        </w:rPr>
        <w:t>Рассмотреть специфику понятия дебиторская задолженность, её структуру и этапы формирования;</w:t>
      </w:r>
    </w:p>
    <w:p w:rsidR="0084534B" w:rsidRPr="00F018E9" w:rsidRDefault="0084534B" w:rsidP="0084534B">
      <w:pPr>
        <w:pStyle w:val="a3"/>
        <w:numPr>
          <w:ilvl w:val="0"/>
          <w:numId w:val="4"/>
        </w:numPr>
        <w:spacing w:after="0" w:line="36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F018E9">
        <w:rPr>
          <w:rFonts w:ascii="Times New Roman" w:hAnsi="Times New Roman" w:cs="Times New Roman"/>
          <w:sz w:val="28"/>
          <w:szCs w:val="28"/>
        </w:rPr>
        <w:t>Проанализировать финансовую отчётность ПАО «АвтоВАЗ»;</w:t>
      </w:r>
    </w:p>
    <w:p w:rsidR="0084534B" w:rsidRPr="00F018E9" w:rsidRDefault="0084534B" w:rsidP="0084534B">
      <w:pPr>
        <w:pStyle w:val="a3"/>
        <w:numPr>
          <w:ilvl w:val="0"/>
          <w:numId w:val="4"/>
        </w:numPr>
        <w:spacing w:after="0" w:line="36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F018E9">
        <w:rPr>
          <w:rFonts w:ascii="Times New Roman" w:hAnsi="Times New Roman" w:cs="Times New Roman"/>
          <w:sz w:val="28"/>
          <w:szCs w:val="28"/>
        </w:rPr>
        <w:t>Разработать прогноз дебиторской задолженности на основании финансовых результатов предприятия;</w:t>
      </w:r>
    </w:p>
    <w:p w:rsidR="0084534B" w:rsidRPr="00F018E9" w:rsidRDefault="0084534B" w:rsidP="0084534B">
      <w:pPr>
        <w:pStyle w:val="a3"/>
        <w:numPr>
          <w:ilvl w:val="0"/>
          <w:numId w:val="4"/>
        </w:numPr>
        <w:spacing w:after="0" w:line="36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F018E9">
        <w:rPr>
          <w:rFonts w:ascii="Times New Roman" w:hAnsi="Times New Roman" w:cs="Times New Roman"/>
          <w:sz w:val="28"/>
          <w:szCs w:val="28"/>
        </w:rPr>
        <w:t>Проанализировать полученные результаты и предложить меры по их улучшению.</w:t>
      </w:r>
    </w:p>
    <w:p w:rsidR="007631EB" w:rsidRPr="00F018E9" w:rsidRDefault="007631EB" w:rsidP="000978F8">
      <w:pPr>
        <w:shd w:val="clear" w:color="auto" w:fill="FFFFFF"/>
        <w:spacing w:line="360" w:lineRule="auto"/>
        <w:ind w:firstLine="34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018E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Дебиторская задолженность в общей финансовой отчетности предприятия</w:t>
      </w:r>
      <w:r w:rsidR="0084534B" w:rsidRPr="00F018E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</w:p>
    <w:p w:rsidR="00492D3E" w:rsidRPr="00F018E9" w:rsidRDefault="00AA59D4" w:rsidP="0084534B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18E9">
        <w:rPr>
          <w:rFonts w:ascii="Times New Roman" w:eastAsia="Times New Roman" w:hAnsi="Times New Roman" w:cs="Times New Roman"/>
          <w:sz w:val="28"/>
          <w:szCs w:val="24"/>
          <w:lang w:eastAsia="ru-RU"/>
        </w:rPr>
        <w:t>Одной из основных задач финансового прогнозирования является оценка достаточности денежных средств на предстоящий период, обусл</w:t>
      </w:r>
      <w:r w:rsidR="009D34B6" w:rsidRPr="00F018E9">
        <w:rPr>
          <w:rFonts w:ascii="Times New Roman" w:eastAsia="Times New Roman" w:hAnsi="Times New Roman" w:cs="Times New Roman"/>
          <w:sz w:val="28"/>
          <w:szCs w:val="24"/>
          <w:lang w:eastAsia="ru-RU"/>
        </w:rPr>
        <w:t>овленной финансовыми потоками: п</w:t>
      </w:r>
      <w:r w:rsidRPr="00F018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оступление от покупателей и заказчиков и платежи поставщикам. </w:t>
      </w:r>
      <w:r w:rsidR="009D34B6" w:rsidRPr="00F018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Основной целью планирования дебиторской задолженности является </w:t>
      </w:r>
      <w:r w:rsidRPr="00F018E9">
        <w:rPr>
          <w:rFonts w:ascii="Times New Roman" w:eastAsia="Times New Roman" w:hAnsi="Times New Roman" w:cs="Times New Roman"/>
          <w:sz w:val="28"/>
          <w:szCs w:val="24"/>
          <w:lang w:eastAsia="ru-RU"/>
        </w:rPr>
        <w:t>выяв</w:t>
      </w:r>
      <w:r w:rsidR="009D34B6" w:rsidRPr="00F018E9">
        <w:rPr>
          <w:rFonts w:ascii="Times New Roman" w:eastAsia="Times New Roman" w:hAnsi="Times New Roman" w:cs="Times New Roman"/>
          <w:sz w:val="28"/>
          <w:szCs w:val="24"/>
          <w:lang w:eastAsia="ru-RU"/>
        </w:rPr>
        <w:t>ление</w:t>
      </w:r>
      <w:r w:rsidRPr="00F018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дефицит</w:t>
      </w:r>
      <w:r w:rsidR="009D34B6" w:rsidRPr="00F018E9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F018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средств и оперативно</w:t>
      </w:r>
      <w:r w:rsidR="009D34B6" w:rsidRPr="00F018E9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F018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приня</w:t>
      </w:r>
      <w:r w:rsidR="009D34B6" w:rsidRPr="00F018E9">
        <w:rPr>
          <w:rFonts w:ascii="Times New Roman" w:eastAsia="Times New Roman" w:hAnsi="Times New Roman" w:cs="Times New Roman"/>
          <w:sz w:val="28"/>
          <w:szCs w:val="24"/>
          <w:lang w:eastAsia="ru-RU"/>
        </w:rPr>
        <w:t>тие мер</w:t>
      </w:r>
      <w:r w:rsidR="00B72E7B" w:rsidRPr="00F018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его покрытию.</w:t>
      </w:r>
      <w:r w:rsidR="000978F8" w:rsidRPr="00F018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Качественный прогноз представляет собой комплексный анализ факторов деятельности и методов введения отчетности в организации. </w:t>
      </w:r>
    </w:p>
    <w:p w:rsidR="002C0940" w:rsidRPr="00F018E9" w:rsidRDefault="009D34B6" w:rsidP="000978F8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18E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Проанализируем специфику дебиторской задолженности на примере финансовой отчетности ПАО «АВТОВАЗ».</w:t>
      </w:r>
      <w:r w:rsidR="00B72E7B" w:rsidRPr="00F018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C7B73" w:rsidRPr="00F018E9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Основным видом деятельности, имеющим приоритетное значение для Общества, является производство и продажа автомобилей, разобранных серий, сборка автомобилей и шасси в рамках договоров подряда, которые обеспечивают 93% выручки Общества</w:t>
      </w:r>
      <w:r w:rsidR="00F018E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2C0940" w:rsidRPr="00F018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0978F8" w:rsidRPr="00F018E9" w:rsidRDefault="000978F8" w:rsidP="000978F8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18E9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состав дебиторской задолженности ПАО «АвтоВАЗ» отражены задолженности покупателей и заказчиков и прочая задолженность. Особенность данного предприятия является государственное субсидирование, которое также входит в состав данного показателя</w:t>
      </w:r>
      <w:r w:rsidR="007C538B" w:rsidRPr="00F018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Субсидии направлены на компенсационные затраты, связанные с производством </w:t>
      </w:r>
      <w:r w:rsidR="00A455AF" w:rsidRPr="00F018E9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колесных транспортных средств и задолженности по выставленным претензиям и по выданным авансам. Её размер оценивается в пределах бюджетных средств, фактически перечисленных на счета предприятия.</w:t>
      </w:r>
    </w:p>
    <w:p w:rsidR="00B72E7B" w:rsidRPr="00F018E9" w:rsidRDefault="00B72E7B" w:rsidP="00A455A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18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Дебиторская задолженность </w:t>
      </w:r>
      <w:r w:rsidR="00A455AF" w:rsidRPr="00F018E9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образовывается в случае, если услуга или товар проданы</w:t>
      </w:r>
      <w:r w:rsidRPr="00F018E9">
        <w:rPr>
          <w:rFonts w:ascii="Times New Roman" w:eastAsia="Times New Roman" w:hAnsi="Times New Roman" w:cs="Times New Roman"/>
          <w:sz w:val="28"/>
          <w:szCs w:val="24"/>
          <w:lang w:eastAsia="ru-RU"/>
        </w:rPr>
        <w:t>, а </w:t>
      </w:r>
      <w:hyperlink r:id="rId6" w:tooltip="Денежные средства" w:history="1">
        <w:r w:rsidRPr="00F018E9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денежные средства</w:t>
        </w:r>
      </w:hyperlink>
      <w:r w:rsidR="00A94DF6" w:rsidRPr="00F018E9">
        <w:rPr>
          <w:rFonts w:ascii="Times New Roman" w:eastAsia="Times New Roman" w:hAnsi="Times New Roman" w:cs="Times New Roman"/>
          <w:sz w:val="28"/>
          <w:szCs w:val="24"/>
          <w:lang w:eastAsia="ru-RU"/>
        </w:rPr>
        <w:t> не получены</w:t>
      </w:r>
      <w:r w:rsidRPr="00F018E9">
        <w:rPr>
          <w:rFonts w:ascii="Times New Roman" w:eastAsia="Times New Roman" w:hAnsi="Times New Roman" w:cs="Times New Roman"/>
          <w:sz w:val="28"/>
          <w:szCs w:val="24"/>
          <w:lang w:eastAsia="ru-RU"/>
        </w:rPr>
        <w:t>. Дебиторская задолженность относится к оборотным активам компании вне зависимости от срока её погашения.</w:t>
      </w:r>
    </w:p>
    <w:p w:rsidR="0094163B" w:rsidRPr="00F018E9" w:rsidRDefault="0094163B" w:rsidP="0094163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018E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Соотношение дебиторской и кредиторской задолженности предприятия</w:t>
      </w:r>
    </w:p>
    <w:p w:rsidR="0094163B" w:rsidRPr="00F018E9" w:rsidRDefault="008946CC" w:rsidP="0094163B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18E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Отношение дебиторской и кредиторской задолженности является важнейшим показателем анализа деятельности предприятия</w:t>
      </w:r>
      <w:bookmarkStart w:id="0" w:name="_GoBack"/>
      <w:bookmarkEnd w:id="0"/>
      <w:r w:rsidRPr="00F018E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. </w:t>
      </w:r>
      <w:r w:rsidR="0094163B" w:rsidRPr="00F018E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Данный показатель </w:t>
      </w:r>
      <w:proofErr w:type="gramStart"/>
      <w:r w:rsidR="0094163B" w:rsidRPr="00F018E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рассматривает</w:t>
      </w:r>
      <w:proofErr w:type="gramEnd"/>
      <w:r w:rsidR="0094163B" w:rsidRPr="00F018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сколько дебиторской задолженности приходится на каждый рубль кредиторской задолженности. Превышение дебиторской задолженности </w:t>
      </w:r>
      <w:proofErr w:type="gramStart"/>
      <w:r w:rsidR="0094163B" w:rsidRPr="00F018E9">
        <w:rPr>
          <w:rFonts w:ascii="Times New Roman" w:eastAsia="Times New Roman" w:hAnsi="Times New Roman" w:cs="Times New Roman"/>
          <w:sz w:val="28"/>
          <w:szCs w:val="24"/>
          <w:lang w:eastAsia="ru-RU"/>
        </w:rPr>
        <w:t>над</w:t>
      </w:r>
      <w:proofErr w:type="gramEnd"/>
      <w:r w:rsidR="0094163B" w:rsidRPr="00F018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кредиторской означает отвлечение средств из хозяйственного оборота и в дальнейшем приведет к необходимости привлечения дорогостоящих кредитов банка и займов для поддержки текущей производственно-хозяйственной деятельности предприятия. Значительное превышение кредиторской задолженности </w:t>
      </w:r>
      <w:proofErr w:type="gramStart"/>
      <w:r w:rsidR="0094163B" w:rsidRPr="00F018E9">
        <w:rPr>
          <w:rFonts w:ascii="Times New Roman" w:eastAsia="Times New Roman" w:hAnsi="Times New Roman" w:cs="Times New Roman"/>
          <w:sz w:val="28"/>
          <w:szCs w:val="24"/>
          <w:lang w:eastAsia="ru-RU"/>
        </w:rPr>
        <w:t>над</w:t>
      </w:r>
      <w:proofErr w:type="gramEnd"/>
      <w:r w:rsidR="0094163B" w:rsidRPr="00F018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дебиторской создает угрозу финансовой устойчивости предприятия. Если </w:t>
      </w:r>
      <w:r w:rsidR="0094163B" w:rsidRPr="00F018E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темпы роста дебиторской задолженности сопоставимы с темпами роста кредиторской задолженности, это благоприятная ситуация для предприятия.</w:t>
      </w:r>
    </w:p>
    <w:p w:rsidR="0094163B" w:rsidRPr="00F018E9" w:rsidRDefault="0094163B" w:rsidP="0094163B">
      <w:pPr>
        <w:keepNext/>
        <w:shd w:val="clear" w:color="auto" w:fill="FFFFFF"/>
        <w:spacing w:line="360" w:lineRule="auto"/>
        <w:jc w:val="both"/>
      </w:pPr>
      <w:r w:rsidRPr="00F018E9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5940425" cy="3985830"/>
            <wp:effectExtent l="0" t="0" r="22225" b="152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4163B" w:rsidRPr="00F018E9" w:rsidRDefault="0094163B" w:rsidP="0094163B">
      <w:pPr>
        <w:pStyle w:val="ab"/>
        <w:keepNext/>
        <w:jc w:val="center"/>
        <w:rPr>
          <w:rFonts w:ascii="Times New Roman" w:hAnsi="Times New Roman" w:cs="Times New Roman"/>
          <w:color w:val="auto"/>
          <w:sz w:val="28"/>
          <w:szCs w:val="24"/>
        </w:rPr>
      </w:pPr>
      <w:r w:rsidRPr="00F018E9">
        <w:rPr>
          <w:rFonts w:ascii="Times New Roman" w:hAnsi="Times New Roman" w:cs="Times New Roman"/>
          <w:color w:val="auto"/>
          <w:sz w:val="28"/>
          <w:szCs w:val="24"/>
        </w:rPr>
        <w:t xml:space="preserve">Рисунок </w:t>
      </w:r>
      <w:r w:rsidR="008C6CA9" w:rsidRPr="00F018E9">
        <w:rPr>
          <w:rFonts w:ascii="Times New Roman" w:hAnsi="Times New Roman" w:cs="Times New Roman"/>
          <w:color w:val="auto"/>
          <w:sz w:val="28"/>
          <w:szCs w:val="24"/>
        </w:rPr>
        <w:fldChar w:fldCharType="begin"/>
      </w:r>
      <w:r w:rsidRPr="00F018E9">
        <w:rPr>
          <w:rFonts w:ascii="Times New Roman" w:hAnsi="Times New Roman" w:cs="Times New Roman"/>
          <w:color w:val="auto"/>
          <w:sz w:val="28"/>
          <w:szCs w:val="24"/>
        </w:rPr>
        <w:instrText xml:space="preserve"> SEQ Рисунок \* ARABIC </w:instrText>
      </w:r>
      <w:r w:rsidR="008C6CA9" w:rsidRPr="00F018E9">
        <w:rPr>
          <w:rFonts w:ascii="Times New Roman" w:hAnsi="Times New Roman" w:cs="Times New Roman"/>
          <w:color w:val="auto"/>
          <w:sz w:val="28"/>
          <w:szCs w:val="24"/>
        </w:rPr>
        <w:fldChar w:fldCharType="separate"/>
      </w:r>
      <w:r w:rsidRPr="00F018E9">
        <w:rPr>
          <w:rFonts w:ascii="Times New Roman" w:hAnsi="Times New Roman" w:cs="Times New Roman"/>
          <w:color w:val="auto"/>
          <w:sz w:val="28"/>
          <w:szCs w:val="24"/>
        </w:rPr>
        <w:t>1</w:t>
      </w:r>
      <w:r w:rsidR="008C6CA9" w:rsidRPr="00F018E9">
        <w:rPr>
          <w:rFonts w:ascii="Times New Roman" w:hAnsi="Times New Roman" w:cs="Times New Roman"/>
          <w:color w:val="auto"/>
          <w:sz w:val="28"/>
          <w:szCs w:val="24"/>
        </w:rPr>
        <w:fldChar w:fldCharType="end"/>
      </w:r>
      <w:r w:rsidRPr="00F018E9">
        <w:rPr>
          <w:rFonts w:ascii="Times New Roman" w:hAnsi="Times New Roman" w:cs="Times New Roman"/>
          <w:color w:val="auto"/>
          <w:sz w:val="28"/>
          <w:szCs w:val="24"/>
        </w:rPr>
        <w:t xml:space="preserve"> - Изменение дебиторской и кредиторской задолженности предприятия</w:t>
      </w:r>
    </w:p>
    <w:p w:rsidR="0094163B" w:rsidRPr="00F018E9" w:rsidRDefault="0094163B" w:rsidP="0094163B"/>
    <w:p w:rsidR="007631EB" w:rsidRPr="00F018E9" w:rsidRDefault="007631EB" w:rsidP="007631E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018E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Построение прогноза дебиторской задолженности</w:t>
      </w:r>
    </w:p>
    <w:p w:rsidR="00A94DF6" w:rsidRPr="00F018E9" w:rsidRDefault="002C0940" w:rsidP="0094163B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18E9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построения прогноза воспользуемся информацией о предприятии, изложенной в бухгалтерской отчетности АВТОВАЗА за 2016 год.</w:t>
      </w:r>
    </w:p>
    <w:p w:rsidR="00A94DF6" w:rsidRPr="00F018E9" w:rsidRDefault="002C0940" w:rsidP="0094163B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18E9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Рассчитаем средний период погашения дебиторской и кредиторской задолженности, а также средний период хранения запасов, основываясь на данных о выручке и себестоимости.</w:t>
      </w:r>
      <w:r w:rsidR="00A94DF6" w:rsidRPr="00F018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72E7B" w:rsidRPr="00F018E9">
        <w:rPr>
          <w:rFonts w:ascii="Times New Roman" w:eastAsia="Times New Roman" w:hAnsi="Times New Roman" w:cs="Times New Roman"/>
          <w:sz w:val="28"/>
          <w:szCs w:val="24"/>
          <w:lang w:eastAsia="ru-RU"/>
        </w:rPr>
        <w:t>Чтобы спрогнозировать сумму денежных поступлений, по</w:t>
      </w:r>
      <w:r w:rsidR="00A94DF6" w:rsidRPr="00F018E9"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 w:rsidR="00B72E7B" w:rsidRPr="00F018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ставим </w:t>
      </w:r>
      <w:r w:rsidR="00A94DF6" w:rsidRPr="00F018E9">
        <w:rPr>
          <w:rFonts w:ascii="Times New Roman" w:eastAsia="Times New Roman" w:hAnsi="Times New Roman" w:cs="Times New Roman"/>
          <w:sz w:val="28"/>
          <w:szCs w:val="24"/>
          <w:lang w:eastAsia="ru-RU"/>
        </w:rPr>
        <w:t>найденные</w:t>
      </w:r>
      <w:r w:rsidR="00B72E7B" w:rsidRPr="00F018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значения в формулу оборачиваемости </w:t>
      </w:r>
      <w:proofErr w:type="spellStart"/>
      <w:r w:rsidR="00B72E7B" w:rsidRPr="00F018E9">
        <w:rPr>
          <w:rFonts w:ascii="Times New Roman" w:eastAsia="Times New Roman" w:hAnsi="Times New Roman" w:cs="Times New Roman"/>
          <w:sz w:val="28"/>
          <w:szCs w:val="24"/>
          <w:lang w:eastAsia="ru-RU"/>
        </w:rPr>
        <w:t>Шерра</w:t>
      </w:r>
      <w:proofErr w:type="spellEnd"/>
      <w:r w:rsidR="00B72E7B" w:rsidRPr="00F018E9">
        <w:rPr>
          <w:rFonts w:ascii="Times New Roman" w:eastAsia="Times New Roman" w:hAnsi="Times New Roman" w:cs="Times New Roman"/>
          <w:sz w:val="28"/>
          <w:szCs w:val="24"/>
          <w:lang w:eastAsia="ru-RU"/>
        </w:rPr>
        <w:t>, затем найдем конечные остатки и ожидаемую сумму поступлений.</w:t>
      </w:r>
    </w:p>
    <w:p w:rsidR="00B35D1F" w:rsidRPr="00F018E9" w:rsidRDefault="00B35D1F" w:rsidP="00B35D1F">
      <w:pPr>
        <w:pStyle w:val="ab"/>
        <w:keepNext/>
        <w:rPr>
          <w:rFonts w:ascii="Times New Roman" w:hAnsi="Times New Roman" w:cs="Times New Roman"/>
          <w:color w:val="auto"/>
          <w:sz w:val="28"/>
          <w:szCs w:val="24"/>
        </w:rPr>
      </w:pPr>
      <w:r w:rsidRPr="00F018E9">
        <w:rPr>
          <w:rFonts w:ascii="Times New Roman" w:hAnsi="Times New Roman" w:cs="Times New Roman"/>
          <w:color w:val="auto"/>
          <w:sz w:val="28"/>
          <w:szCs w:val="24"/>
        </w:rPr>
        <w:lastRenderedPageBreak/>
        <w:t xml:space="preserve">Таблица </w:t>
      </w:r>
      <w:r w:rsidR="008C6CA9" w:rsidRPr="00F018E9">
        <w:rPr>
          <w:rFonts w:ascii="Times New Roman" w:hAnsi="Times New Roman" w:cs="Times New Roman"/>
          <w:color w:val="auto"/>
          <w:sz w:val="28"/>
          <w:szCs w:val="24"/>
        </w:rPr>
        <w:fldChar w:fldCharType="begin"/>
      </w:r>
      <w:r w:rsidRPr="00F018E9">
        <w:rPr>
          <w:rFonts w:ascii="Times New Roman" w:hAnsi="Times New Roman" w:cs="Times New Roman"/>
          <w:color w:val="auto"/>
          <w:sz w:val="28"/>
          <w:szCs w:val="24"/>
        </w:rPr>
        <w:instrText xml:space="preserve"> SEQ Таблица \* ARABIC </w:instrText>
      </w:r>
      <w:r w:rsidR="008C6CA9" w:rsidRPr="00F018E9">
        <w:rPr>
          <w:rFonts w:ascii="Times New Roman" w:hAnsi="Times New Roman" w:cs="Times New Roman"/>
          <w:color w:val="auto"/>
          <w:sz w:val="28"/>
          <w:szCs w:val="24"/>
        </w:rPr>
        <w:fldChar w:fldCharType="separate"/>
      </w:r>
      <w:r w:rsidRPr="00F018E9">
        <w:rPr>
          <w:rFonts w:ascii="Times New Roman" w:hAnsi="Times New Roman" w:cs="Times New Roman"/>
          <w:noProof/>
          <w:color w:val="auto"/>
          <w:sz w:val="28"/>
          <w:szCs w:val="24"/>
        </w:rPr>
        <w:t>1</w:t>
      </w:r>
      <w:r w:rsidR="008C6CA9" w:rsidRPr="00F018E9">
        <w:rPr>
          <w:rFonts w:ascii="Times New Roman" w:hAnsi="Times New Roman" w:cs="Times New Roman"/>
          <w:color w:val="auto"/>
          <w:sz w:val="28"/>
          <w:szCs w:val="24"/>
        </w:rPr>
        <w:fldChar w:fldCharType="end"/>
      </w:r>
      <w:r w:rsidRPr="00F018E9">
        <w:rPr>
          <w:rFonts w:ascii="Times New Roman" w:hAnsi="Times New Roman" w:cs="Times New Roman"/>
          <w:color w:val="auto"/>
          <w:sz w:val="28"/>
          <w:szCs w:val="24"/>
        </w:rPr>
        <w:t xml:space="preserve"> - Показатели бухгалтерского баланса ПАО "</w:t>
      </w:r>
      <w:proofErr w:type="spellStart"/>
      <w:r w:rsidRPr="00F018E9">
        <w:rPr>
          <w:rFonts w:ascii="Times New Roman" w:hAnsi="Times New Roman" w:cs="Times New Roman"/>
          <w:noProof/>
          <w:color w:val="auto"/>
          <w:sz w:val="28"/>
          <w:szCs w:val="24"/>
        </w:rPr>
        <w:t>Автоваз</w:t>
      </w:r>
      <w:proofErr w:type="spellEnd"/>
      <w:r w:rsidRPr="00F018E9">
        <w:rPr>
          <w:rFonts w:ascii="Times New Roman" w:hAnsi="Times New Roman" w:cs="Times New Roman"/>
          <w:noProof/>
          <w:color w:val="auto"/>
          <w:sz w:val="28"/>
          <w:szCs w:val="24"/>
        </w:rPr>
        <w:t>"</w:t>
      </w:r>
    </w:p>
    <w:tbl>
      <w:tblPr>
        <w:tblW w:w="9921" w:type="dxa"/>
        <w:jc w:val="center"/>
        <w:tblCellMar>
          <w:left w:w="0" w:type="dxa"/>
          <w:right w:w="0" w:type="dxa"/>
        </w:tblCellMar>
        <w:tblLook w:val="0600"/>
      </w:tblPr>
      <w:tblGrid>
        <w:gridCol w:w="3841"/>
        <w:gridCol w:w="1216"/>
        <w:gridCol w:w="1216"/>
        <w:gridCol w:w="1216"/>
        <w:gridCol w:w="1216"/>
        <w:gridCol w:w="1216"/>
      </w:tblGrid>
      <w:tr w:rsidR="00B35D1F" w:rsidRPr="00F018E9" w:rsidTr="00B35D1F">
        <w:trPr>
          <w:trHeight w:val="276"/>
          <w:jc w:val="center"/>
        </w:trPr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29B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6663B" w:rsidRPr="00F018E9" w:rsidRDefault="00BB7FC6" w:rsidP="00BB7FC6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8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29B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6663B" w:rsidRPr="00F018E9" w:rsidRDefault="00BB7FC6" w:rsidP="00BB7FC6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8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2016 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29B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6663B" w:rsidRPr="00F018E9" w:rsidRDefault="00BB7FC6" w:rsidP="00BB7FC6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8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2015 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29B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6663B" w:rsidRPr="00F018E9" w:rsidRDefault="00BB7FC6" w:rsidP="00BB7FC6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8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2014 г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29B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6663B" w:rsidRPr="00F018E9" w:rsidRDefault="00BB7FC6" w:rsidP="00BB7FC6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8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2013 г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29B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6663B" w:rsidRPr="00F018E9" w:rsidRDefault="00BB7FC6" w:rsidP="00BB7FC6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8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2012 г</w:t>
            </w:r>
          </w:p>
        </w:tc>
      </w:tr>
      <w:tr w:rsidR="00B35D1F" w:rsidRPr="00F018E9" w:rsidTr="00B35D1F">
        <w:trPr>
          <w:trHeight w:val="263"/>
          <w:jc w:val="center"/>
        </w:trPr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29B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6663B" w:rsidRPr="00F018E9" w:rsidRDefault="00BB7FC6" w:rsidP="00B35D1F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8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Дебиторская задолженность покупателей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6663B" w:rsidRPr="00F018E9" w:rsidRDefault="00395230" w:rsidP="00BB7FC6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6663B" w:rsidRPr="00F018E9" w:rsidRDefault="00395230" w:rsidP="00BB7FC6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6663B" w:rsidRPr="00F018E9" w:rsidRDefault="00395230" w:rsidP="00BB7FC6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23903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6663B" w:rsidRPr="00F018E9" w:rsidRDefault="00395230" w:rsidP="00BB7FC6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15912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6663B" w:rsidRPr="00F018E9" w:rsidRDefault="00395230" w:rsidP="00BB7FC6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19237</w:t>
            </w:r>
          </w:p>
        </w:tc>
      </w:tr>
      <w:tr w:rsidR="00B35D1F" w:rsidRPr="00F018E9" w:rsidTr="00B35D1F">
        <w:trPr>
          <w:trHeight w:val="263"/>
          <w:jc w:val="center"/>
        </w:trPr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29B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6663B" w:rsidRPr="00F018E9" w:rsidRDefault="00BB7FC6" w:rsidP="00B35D1F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8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Средний период погашения </w:t>
            </w:r>
            <w:proofErr w:type="spellStart"/>
            <w:r w:rsidRPr="00F018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деб</w:t>
            </w:r>
            <w:proofErr w:type="spellEnd"/>
            <w:r w:rsidRPr="00F018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B35D1F" w:rsidRPr="00F018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</w:t>
            </w:r>
            <w:r w:rsidRPr="00F018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адол</w:t>
            </w:r>
            <w:proofErr w:type="spellEnd"/>
            <w:r w:rsidRPr="00F018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., дни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6663B" w:rsidRPr="00F018E9" w:rsidRDefault="00BB7FC6" w:rsidP="00BB7FC6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6663B" w:rsidRPr="00F018E9" w:rsidRDefault="00BB7FC6" w:rsidP="00BB7FC6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6663B" w:rsidRPr="00F018E9" w:rsidRDefault="00BB7FC6" w:rsidP="00BB7FC6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37,27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6663B" w:rsidRPr="00F018E9" w:rsidRDefault="00BB7FC6" w:rsidP="00BB7FC6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36,12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6663B" w:rsidRPr="00F018E9" w:rsidRDefault="00BB7FC6" w:rsidP="00BB7FC6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18,90</w:t>
            </w:r>
          </w:p>
        </w:tc>
      </w:tr>
      <w:tr w:rsidR="00B35D1F" w:rsidRPr="00F018E9" w:rsidTr="00B35D1F">
        <w:trPr>
          <w:trHeight w:val="263"/>
          <w:jc w:val="center"/>
        </w:trPr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29B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6663B" w:rsidRPr="00F018E9" w:rsidRDefault="00BB7FC6" w:rsidP="00B35D1F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8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Кредиторская задолженность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6663B" w:rsidRPr="00F018E9" w:rsidRDefault="00395230" w:rsidP="00BB7FC6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66795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6663B" w:rsidRPr="00F018E9" w:rsidRDefault="00395230" w:rsidP="00BB7FC6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67257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6663B" w:rsidRPr="00F018E9" w:rsidRDefault="00395230" w:rsidP="00BB7FC6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47677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6663B" w:rsidRPr="00F018E9" w:rsidRDefault="00B35D1F" w:rsidP="00BB7FC6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22670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6663B" w:rsidRPr="00F018E9" w:rsidRDefault="00B35D1F" w:rsidP="00BB7FC6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28927</w:t>
            </w:r>
          </w:p>
        </w:tc>
      </w:tr>
      <w:tr w:rsidR="00B35D1F" w:rsidRPr="00F018E9" w:rsidTr="00B35D1F">
        <w:trPr>
          <w:trHeight w:val="263"/>
          <w:jc w:val="center"/>
        </w:trPr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29B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6663B" w:rsidRPr="00F018E9" w:rsidRDefault="00BB7FC6" w:rsidP="00B35D1F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8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Средний период погашения </w:t>
            </w:r>
            <w:proofErr w:type="spellStart"/>
            <w:r w:rsidRPr="00F018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кред</w:t>
            </w:r>
            <w:proofErr w:type="spellEnd"/>
            <w:r w:rsidRPr="00F018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B35D1F" w:rsidRPr="00F018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</w:t>
            </w:r>
            <w:r w:rsidRPr="00F018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адол</w:t>
            </w:r>
            <w:proofErr w:type="spellEnd"/>
            <w:r w:rsidRPr="00F018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., дни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6663B" w:rsidRPr="00F018E9" w:rsidRDefault="00BB7FC6" w:rsidP="00BB7FC6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127,01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6663B" w:rsidRPr="00F018E9" w:rsidRDefault="00BB7FC6" w:rsidP="00BB7FC6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121,37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6663B" w:rsidRPr="00F018E9" w:rsidRDefault="00BB7FC6" w:rsidP="00BB7FC6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65,85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6663B" w:rsidRPr="00F018E9" w:rsidRDefault="00BB7FC6" w:rsidP="00BB7FC6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53,03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6663B" w:rsidRPr="00F018E9" w:rsidRDefault="00BB7FC6" w:rsidP="00BB7FC6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28,42</w:t>
            </w:r>
          </w:p>
        </w:tc>
      </w:tr>
      <w:tr w:rsidR="00B35D1F" w:rsidRPr="00F018E9" w:rsidTr="00B35D1F">
        <w:trPr>
          <w:trHeight w:val="263"/>
          <w:jc w:val="center"/>
        </w:trPr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29B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6663B" w:rsidRPr="00F018E9" w:rsidRDefault="00BB7FC6" w:rsidP="00B35D1F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8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Производственные запасы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6663B" w:rsidRPr="00F018E9" w:rsidRDefault="00395230" w:rsidP="00BB7FC6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6663B" w:rsidRPr="00F018E9" w:rsidRDefault="00395230" w:rsidP="00BB7FC6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6663B" w:rsidRPr="00F018E9" w:rsidRDefault="00395230" w:rsidP="00BB7FC6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16833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6663B" w:rsidRPr="00F018E9" w:rsidRDefault="00395230" w:rsidP="00BB7FC6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24319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6663B" w:rsidRPr="00F018E9" w:rsidRDefault="00B35D1F" w:rsidP="00BB7FC6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1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19997</w:t>
            </w:r>
          </w:p>
        </w:tc>
      </w:tr>
      <w:tr w:rsidR="00B35D1F" w:rsidRPr="00F018E9" w:rsidTr="00B35D1F">
        <w:trPr>
          <w:trHeight w:val="263"/>
          <w:jc w:val="center"/>
        </w:trPr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29B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6663B" w:rsidRPr="00F018E9" w:rsidRDefault="00BB7FC6" w:rsidP="00BB7FC6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8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Средний период хранения запасов, дни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6663B" w:rsidRPr="00F018E9" w:rsidRDefault="00BB7FC6" w:rsidP="00BB7FC6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26,78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6663B" w:rsidRPr="00F018E9" w:rsidRDefault="00BB7FC6" w:rsidP="00BB7FC6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6663B" w:rsidRPr="00F018E9" w:rsidRDefault="00BB7FC6" w:rsidP="00BB7FC6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39,12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6663B" w:rsidRPr="00F018E9" w:rsidRDefault="00BB7FC6" w:rsidP="00BB7FC6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48,33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6663B" w:rsidRPr="00F018E9" w:rsidRDefault="00BB7FC6" w:rsidP="00BB7FC6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21,75</w:t>
            </w:r>
          </w:p>
        </w:tc>
      </w:tr>
      <w:tr w:rsidR="00B35D1F" w:rsidRPr="00F018E9" w:rsidTr="00B35D1F">
        <w:trPr>
          <w:trHeight w:val="263"/>
          <w:jc w:val="center"/>
        </w:trPr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29B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6663B" w:rsidRPr="00F018E9" w:rsidRDefault="00BB7FC6" w:rsidP="00BB7FC6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8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Себестоимость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6663B" w:rsidRPr="00F018E9" w:rsidRDefault="00B35D1F" w:rsidP="00BB7FC6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1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212609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6663B" w:rsidRPr="00F018E9" w:rsidRDefault="00B35D1F" w:rsidP="00BB7FC6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1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6663B" w:rsidRPr="00F018E9" w:rsidRDefault="00B35D1F" w:rsidP="00BB7FC6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1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189370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6663B" w:rsidRPr="00F018E9" w:rsidRDefault="00B35D1F" w:rsidP="00BB7FC6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1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165060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6663B" w:rsidRPr="00F018E9" w:rsidRDefault="00B35D1F" w:rsidP="00BB7FC6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1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165517</w:t>
            </w:r>
          </w:p>
        </w:tc>
      </w:tr>
      <w:tr w:rsidR="00B35D1F" w:rsidRPr="00F018E9" w:rsidTr="00B35D1F">
        <w:trPr>
          <w:trHeight w:val="276"/>
          <w:jc w:val="center"/>
        </w:trPr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29B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6663B" w:rsidRPr="00F018E9" w:rsidRDefault="00BB7FC6" w:rsidP="00BB7FC6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8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Выручка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6663B" w:rsidRPr="00F018E9" w:rsidRDefault="00B35D1F" w:rsidP="00BB7FC6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1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189974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6663B" w:rsidRPr="00F018E9" w:rsidRDefault="00B35D1F" w:rsidP="00BB7FC6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1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170452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6663B" w:rsidRPr="00F018E9" w:rsidRDefault="00B35D1F" w:rsidP="00BB7FC6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1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192295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6663B" w:rsidRPr="00F018E9" w:rsidRDefault="00B35D1F" w:rsidP="00BB7FC6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1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175152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E6663B" w:rsidRPr="00F018E9" w:rsidRDefault="00B35D1F" w:rsidP="00BB7FC6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01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183217</w:t>
            </w:r>
          </w:p>
        </w:tc>
      </w:tr>
    </w:tbl>
    <w:p w:rsidR="0084534B" w:rsidRPr="00F018E9" w:rsidRDefault="0084534B" w:rsidP="0084534B"/>
    <w:p w:rsidR="000978F8" w:rsidRPr="00F018E9" w:rsidRDefault="007631EB" w:rsidP="00492D3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018E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Меры преодоления финансовых затруднений</w:t>
      </w:r>
      <w:r w:rsidR="000978F8" w:rsidRPr="00F018E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</w:p>
    <w:p w:rsidR="00492D3E" w:rsidRPr="00F018E9" w:rsidRDefault="00A94DF6" w:rsidP="000978F8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018E9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предприятии существует финансовая зависимость, т.е. большая часть имущества – заёмные средства, что приводит к опасности неплатежеспособности.</w:t>
      </w:r>
    </w:p>
    <w:p w:rsidR="00A94DF6" w:rsidRPr="00F018E9" w:rsidRDefault="00A94DF6" w:rsidP="00492D3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18E9">
        <w:rPr>
          <w:rFonts w:ascii="Times New Roman" w:eastAsia="Times New Roman" w:hAnsi="Times New Roman" w:cs="Times New Roman"/>
          <w:sz w:val="28"/>
          <w:szCs w:val="24"/>
          <w:lang w:eastAsia="ru-RU"/>
        </w:rPr>
        <w:t>Снижение капитала и резервов являются отрицательной тенденцией, т.к. образуется не погашенная задолженность перед участниками производства</w:t>
      </w:r>
    </w:p>
    <w:p w:rsidR="00A94DF6" w:rsidRPr="00F018E9" w:rsidRDefault="00A94DF6" w:rsidP="00492D3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18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Снижение оборачиваемости оборота, </w:t>
      </w:r>
      <w:proofErr w:type="gramStart"/>
      <w:r w:rsidRPr="00F018E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приводящая</w:t>
      </w:r>
      <w:proofErr w:type="gramEnd"/>
      <w:r w:rsidRPr="00F018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отсрочке платежей и увеличению срока погашения кредиторской задолженности</w:t>
      </w:r>
    </w:p>
    <w:p w:rsidR="00A94DF6" w:rsidRPr="00F018E9" w:rsidRDefault="00A94DF6" w:rsidP="00492D3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18E9">
        <w:rPr>
          <w:rFonts w:ascii="Times New Roman" w:eastAsia="Times New Roman" w:hAnsi="Times New Roman" w:cs="Times New Roman"/>
          <w:sz w:val="28"/>
          <w:szCs w:val="24"/>
          <w:lang w:eastAsia="ru-RU"/>
        </w:rPr>
        <w:t>Низкая ликвидность приводит также к высокому финансовому риску стабильной оплаты текущих счетов</w:t>
      </w:r>
    </w:p>
    <w:p w:rsidR="00EF3508" w:rsidRPr="00F018E9" w:rsidRDefault="00A94DF6" w:rsidP="00F018E9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18E9">
        <w:rPr>
          <w:rFonts w:ascii="Times New Roman" w:eastAsia="Times New Roman" w:hAnsi="Times New Roman" w:cs="Times New Roman"/>
          <w:sz w:val="28"/>
          <w:szCs w:val="24"/>
          <w:lang w:eastAsia="ru-RU"/>
        </w:rPr>
        <w:t>Выручка снижается, поэтому понижается рентабельности и повышаются издержки.</w:t>
      </w:r>
    </w:p>
    <w:sectPr w:rsidR="00EF3508" w:rsidRPr="00F018E9" w:rsidSect="008C6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A4E73"/>
    <w:multiLevelType w:val="hybridMultilevel"/>
    <w:tmpl w:val="4508D27A"/>
    <w:lvl w:ilvl="0" w:tplc="35C418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C3AE4"/>
    <w:multiLevelType w:val="hybridMultilevel"/>
    <w:tmpl w:val="FC04F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2777A8"/>
    <w:multiLevelType w:val="hybridMultilevel"/>
    <w:tmpl w:val="4C7453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ABE2A6E"/>
    <w:multiLevelType w:val="hybridMultilevel"/>
    <w:tmpl w:val="1E8C4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7E54DF"/>
    <w:multiLevelType w:val="hybridMultilevel"/>
    <w:tmpl w:val="8DBCCDE0"/>
    <w:lvl w:ilvl="0" w:tplc="15523026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01BBC"/>
    <w:rsid w:val="000070B6"/>
    <w:rsid w:val="00060398"/>
    <w:rsid w:val="000978F8"/>
    <w:rsid w:val="001F6C85"/>
    <w:rsid w:val="002C0940"/>
    <w:rsid w:val="00334224"/>
    <w:rsid w:val="003713B6"/>
    <w:rsid w:val="00384BFC"/>
    <w:rsid w:val="00395230"/>
    <w:rsid w:val="00492D3E"/>
    <w:rsid w:val="00584013"/>
    <w:rsid w:val="007631EB"/>
    <w:rsid w:val="007C538B"/>
    <w:rsid w:val="0084534B"/>
    <w:rsid w:val="008946CC"/>
    <w:rsid w:val="008C6CA9"/>
    <w:rsid w:val="0094163B"/>
    <w:rsid w:val="009D34B6"/>
    <w:rsid w:val="00A455AF"/>
    <w:rsid w:val="00A94DF6"/>
    <w:rsid w:val="00AA59D4"/>
    <w:rsid w:val="00AC313E"/>
    <w:rsid w:val="00AF2B7D"/>
    <w:rsid w:val="00AF583F"/>
    <w:rsid w:val="00AF5CC2"/>
    <w:rsid w:val="00B35D1F"/>
    <w:rsid w:val="00B72E7B"/>
    <w:rsid w:val="00BB7FC6"/>
    <w:rsid w:val="00BC7B73"/>
    <w:rsid w:val="00C3771C"/>
    <w:rsid w:val="00E01BBC"/>
    <w:rsid w:val="00E07316"/>
    <w:rsid w:val="00E07E75"/>
    <w:rsid w:val="00E26CBC"/>
    <w:rsid w:val="00E6663B"/>
    <w:rsid w:val="00EF3508"/>
    <w:rsid w:val="00F018E9"/>
    <w:rsid w:val="00F70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83F"/>
  </w:style>
  <w:style w:type="paragraph" w:styleId="1">
    <w:name w:val="heading 1"/>
    <w:basedOn w:val="a"/>
    <w:next w:val="a"/>
    <w:link w:val="10"/>
    <w:uiPriority w:val="9"/>
    <w:qFormat/>
    <w:rsid w:val="00AF58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F58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5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F58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AF583F"/>
    <w:pPr>
      <w:ind w:left="720"/>
      <w:contextualSpacing/>
    </w:pPr>
  </w:style>
  <w:style w:type="paragraph" w:styleId="a4">
    <w:name w:val="TOC Heading"/>
    <w:basedOn w:val="1"/>
    <w:next w:val="a"/>
    <w:uiPriority w:val="39"/>
    <w:semiHidden/>
    <w:unhideWhenUsed/>
    <w:qFormat/>
    <w:rsid w:val="00AF583F"/>
    <w:pPr>
      <w:outlineLvl w:val="9"/>
    </w:pPr>
    <w:rPr>
      <w:lang w:eastAsia="ru-RU"/>
    </w:rPr>
  </w:style>
  <w:style w:type="character" w:styleId="a5">
    <w:name w:val="Strong"/>
    <w:basedOn w:val="a0"/>
    <w:uiPriority w:val="22"/>
    <w:qFormat/>
    <w:rsid w:val="00AC313E"/>
    <w:rPr>
      <w:b/>
      <w:bCs/>
    </w:rPr>
  </w:style>
  <w:style w:type="character" w:styleId="a6">
    <w:name w:val="Placeholder Text"/>
    <w:basedOn w:val="a0"/>
    <w:uiPriority w:val="99"/>
    <w:semiHidden/>
    <w:rsid w:val="001F6C85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1F6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6C8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EF3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EF3508"/>
    <w:rPr>
      <w:color w:val="0000FF"/>
      <w:u w:val="single"/>
    </w:rPr>
  </w:style>
  <w:style w:type="paragraph" w:styleId="ab">
    <w:name w:val="caption"/>
    <w:basedOn w:val="a"/>
    <w:next w:val="a"/>
    <w:uiPriority w:val="35"/>
    <w:unhideWhenUsed/>
    <w:qFormat/>
    <w:rsid w:val="00B35D1F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83F"/>
  </w:style>
  <w:style w:type="paragraph" w:styleId="1">
    <w:name w:val="heading 1"/>
    <w:basedOn w:val="a"/>
    <w:next w:val="a"/>
    <w:link w:val="10"/>
    <w:uiPriority w:val="9"/>
    <w:qFormat/>
    <w:rsid w:val="00AF58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F58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5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F58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AF583F"/>
    <w:pPr>
      <w:ind w:left="720"/>
      <w:contextualSpacing/>
    </w:pPr>
  </w:style>
  <w:style w:type="paragraph" w:styleId="a4">
    <w:name w:val="TOC Heading"/>
    <w:basedOn w:val="1"/>
    <w:next w:val="a"/>
    <w:uiPriority w:val="39"/>
    <w:semiHidden/>
    <w:unhideWhenUsed/>
    <w:qFormat/>
    <w:rsid w:val="00AF583F"/>
    <w:pPr>
      <w:outlineLvl w:val="9"/>
    </w:pPr>
    <w:rPr>
      <w:lang w:eastAsia="ru-RU"/>
    </w:rPr>
  </w:style>
  <w:style w:type="character" w:styleId="a5">
    <w:name w:val="Strong"/>
    <w:basedOn w:val="a0"/>
    <w:uiPriority w:val="22"/>
    <w:qFormat/>
    <w:rsid w:val="00AC313E"/>
    <w:rPr>
      <w:b/>
      <w:bCs/>
    </w:rPr>
  </w:style>
  <w:style w:type="character" w:styleId="a6">
    <w:name w:val="Placeholder Text"/>
    <w:basedOn w:val="a0"/>
    <w:uiPriority w:val="99"/>
    <w:semiHidden/>
    <w:rsid w:val="001F6C85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1F6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6C8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EF3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EF3508"/>
    <w:rPr>
      <w:color w:val="0000FF"/>
      <w:u w:val="single"/>
    </w:rPr>
  </w:style>
  <w:style w:type="paragraph" w:styleId="ab">
    <w:name w:val="caption"/>
    <w:basedOn w:val="a"/>
    <w:next w:val="a"/>
    <w:uiPriority w:val="35"/>
    <w:unhideWhenUsed/>
    <w:qFormat/>
    <w:rsid w:val="00B35D1F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825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4%D0%B5%D0%BD%D0%B5%D0%B6%D0%BD%D1%8B%D0%B5_%D1%81%D1%80%D0%B5%D0%B4%D1%81%D1%82%D0%B2%D0%B0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8;&#1088;&#1080;&#1085;&#1072;\YandexDisk\&#1040;&#1085;&#1090;&#1080;&#1085;&#1072;&#1091;&#1095;&#1085;&#1072;&#1103;%20&#1076;&#1077;&#1103;&#1090;&#1077;&#1083;&#1100;&#1085;&#1086;&#1089;&#1090;&#1100;\&#1085;&#1072;&#1091;&#1095;&#1082;&#1072;%20&#1041;&#1091;&#1093;&#1059;&#1095;&#1105;&#1090;\&#1051;&#1080;&#1089;&#1090;%20Microsoft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autoTitleDeleted val="1"/>
    <c:plotArea>
      <c:layout>
        <c:manualLayout>
          <c:layoutTarget val="inner"/>
          <c:xMode val="edge"/>
          <c:yMode val="edge"/>
          <c:x val="9.0850639867735158E-2"/>
          <c:y val="3.5930484417603152E-2"/>
          <c:w val="0.6620010711588814"/>
          <c:h val="0.88299620314451022"/>
        </c:manualLayout>
      </c:layout>
      <c:lineChart>
        <c:grouping val="standard"/>
        <c:ser>
          <c:idx val="1"/>
          <c:order val="0"/>
          <c:tx>
            <c:strRef>
              <c:f>Лист1!$B$3</c:f>
              <c:strCache>
                <c:ptCount val="1"/>
                <c:pt idx="0">
                  <c:v>Дебиторская задолженность покупателей, млн. руб.</c:v>
                </c:pt>
              </c:strCache>
            </c:strRef>
          </c:tx>
          <c:spPr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marker>
            <c:symbol val="none"/>
          </c:marker>
          <c:dLbls>
            <c:dLblPos val="t"/>
            <c:showVal val="1"/>
          </c:dLbls>
          <c:cat>
            <c:strRef>
              <c:f>Лист1!$C$2:$G$2</c:f>
              <c:strCache>
                <c:ptCount val="5"/>
                <c:pt idx="0">
                  <c:v>2016 г</c:v>
                </c:pt>
                <c:pt idx="1">
                  <c:v>2015 г</c:v>
                </c:pt>
                <c:pt idx="2">
                  <c:v>2014 г</c:v>
                </c:pt>
                <c:pt idx="3">
                  <c:v>2013 г</c:v>
                </c:pt>
                <c:pt idx="4">
                  <c:v>2012 г</c:v>
                </c:pt>
              </c:strCache>
            </c:strRef>
          </c:cat>
          <c:val>
            <c:numRef>
              <c:f>Лист1!$C$3:$G$3</c:f>
              <c:numCache>
                <c:formatCode>0.00</c:formatCode>
                <c:ptCount val="5"/>
                <c:pt idx="0">
                  <c:v>23530</c:v>
                </c:pt>
                <c:pt idx="1">
                  <c:v>16851</c:v>
                </c:pt>
                <c:pt idx="2">
                  <c:v>23903</c:v>
                </c:pt>
                <c:pt idx="3">
                  <c:v>15912</c:v>
                </c:pt>
                <c:pt idx="4">
                  <c:v>19237</c:v>
                </c:pt>
              </c:numCache>
            </c:numRef>
          </c:val>
        </c:ser>
        <c:ser>
          <c:idx val="2"/>
          <c:order val="1"/>
          <c:tx>
            <c:strRef>
              <c:f>Лист1!$B$5</c:f>
              <c:strCache>
                <c:ptCount val="1"/>
                <c:pt idx="0">
                  <c:v>Кредиторская задолженность, млн. руб.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-5.4633556968975143E-2"/>
                  <c:y val="-5.664061171470669E-2"/>
                </c:manualLayout>
              </c:layout>
              <c:dLblPos val="r"/>
              <c:showVal val="1"/>
            </c:dLbl>
            <c:dLbl>
              <c:idx val="2"/>
              <c:layout>
                <c:manualLayout>
                  <c:x val="-2.7764372195411068E-2"/>
                  <c:y val="-4.8875468236373364E-2"/>
                </c:manualLayout>
              </c:layout>
              <c:dLblPos val="r"/>
              <c:showVal val="1"/>
            </c:dLbl>
            <c:dLbl>
              <c:idx val="3"/>
              <c:layout>
                <c:manualLayout>
                  <c:x val="-1.8288208270544067E-2"/>
                  <c:y val="-7.1312335958005318E-2"/>
                </c:manualLayout>
              </c:layout>
              <c:dLblPos val="r"/>
              <c:showVal val="1"/>
            </c:dLbl>
            <c:dLbl>
              <c:idx val="4"/>
              <c:layout>
                <c:manualLayout>
                  <c:x val="-2.9254155730533683E-2"/>
                  <c:y val="-5.6030183727034118E-2"/>
                </c:manualLayout>
              </c:layout>
              <c:dLblPos val="r"/>
              <c:showVal val="1"/>
            </c:dLbl>
            <c:dLblPos val="t"/>
            <c:showVal val="1"/>
          </c:dLbls>
          <c:cat>
            <c:strRef>
              <c:f>Лист1!$C$2:$G$2</c:f>
              <c:strCache>
                <c:ptCount val="5"/>
                <c:pt idx="0">
                  <c:v>2016 г</c:v>
                </c:pt>
                <c:pt idx="1">
                  <c:v>2015 г</c:v>
                </c:pt>
                <c:pt idx="2">
                  <c:v>2014 г</c:v>
                </c:pt>
                <c:pt idx="3">
                  <c:v>2013 г</c:v>
                </c:pt>
                <c:pt idx="4">
                  <c:v>2012 г</c:v>
                </c:pt>
              </c:strCache>
            </c:strRef>
          </c:cat>
          <c:val>
            <c:numRef>
              <c:f>Лист1!$C$5:$G$5</c:f>
              <c:numCache>
                <c:formatCode>0.00</c:formatCode>
                <c:ptCount val="5"/>
                <c:pt idx="0">
                  <c:v>66795</c:v>
                </c:pt>
                <c:pt idx="1">
                  <c:v>67257</c:v>
                </c:pt>
                <c:pt idx="2">
                  <c:v>47677</c:v>
                </c:pt>
                <c:pt idx="3">
                  <c:v>22670</c:v>
                </c:pt>
                <c:pt idx="4">
                  <c:v>28927</c:v>
                </c:pt>
              </c:numCache>
            </c:numRef>
          </c:val>
        </c:ser>
        <c:dLbls>
          <c:showVal val="1"/>
        </c:dLbls>
        <c:marker val="1"/>
        <c:axId val="74181248"/>
        <c:axId val="81863040"/>
      </c:lineChart>
      <c:catAx>
        <c:axId val="74181248"/>
        <c:scaling>
          <c:orientation val="minMax"/>
        </c:scaling>
        <c:axPos val="b"/>
        <c:tickLblPos val="nextTo"/>
        <c:crossAx val="81863040"/>
        <c:crosses val="autoZero"/>
        <c:auto val="1"/>
        <c:lblAlgn val="ctr"/>
        <c:lblOffset val="100"/>
      </c:catAx>
      <c:valAx>
        <c:axId val="81863040"/>
        <c:scaling>
          <c:orientation val="minMax"/>
        </c:scaling>
        <c:axPos val="l"/>
        <c:majorGridlines/>
        <c:numFmt formatCode="0.00" sourceLinked="1"/>
        <c:tickLblPos val="nextTo"/>
        <c:crossAx val="741812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5454161385720342"/>
          <c:y val="0.15965751853833804"/>
          <c:w val="0.19307139839459234"/>
          <c:h val="0.43796651632138234"/>
        </c:manualLayout>
      </c:layout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02ADA-DBAD-48C0-BE27-6243AB166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Розанов Александр</cp:lastModifiedBy>
  <cp:revision>2</cp:revision>
  <dcterms:created xsi:type="dcterms:W3CDTF">2018-01-24T15:34:00Z</dcterms:created>
  <dcterms:modified xsi:type="dcterms:W3CDTF">2018-01-24T15:34:00Z</dcterms:modified>
</cp:coreProperties>
</file>