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FC2" w:rsidRPr="005B0BCB" w:rsidRDefault="002521AF" w:rsidP="00C11FC2">
      <w:pPr>
        <w:pStyle w:val="a3"/>
        <w:spacing w:before="240" w:line="360" w:lineRule="auto"/>
        <w:ind w:left="0"/>
        <w:jc w:val="center"/>
        <w:rPr>
          <w:rFonts w:ascii="Times New Roman" w:hAnsi="Times New Roman" w:cs="Times New Roman"/>
          <w:b/>
          <w:sz w:val="28"/>
          <w:szCs w:val="28"/>
        </w:rPr>
      </w:pPr>
      <w:r>
        <w:rPr>
          <w:rFonts w:ascii="Times New Roman" w:hAnsi="Times New Roman" w:cs="Times New Roman"/>
          <w:b/>
          <w:sz w:val="28"/>
          <w:szCs w:val="28"/>
        </w:rPr>
        <w:t>Методология о</w:t>
      </w:r>
      <w:r w:rsidR="00C11FC2" w:rsidRPr="005B0BCB">
        <w:rPr>
          <w:rFonts w:ascii="Times New Roman" w:hAnsi="Times New Roman" w:cs="Times New Roman"/>
          <w:b/>
          <w:sz w:val="28"/>
          <w:szCs w:val="28"/>
        </w:rPr>
        <w:t>ценк</w:t>
      </w:r>
      <w:r>
        <w:rPr>
          <w:rFonts w:ascii="Times New Roman" w:hAnsi="Times New Roman" w:cs="Times New Roman"/>
          <w:b/>
          <w:sz w:val="28"/>
          <w:szCs w:val="28"/>
        </w:rPr>
        <w:t>и</w:t>
      </w:r>
      <w:r w:rsidR="00C11FC2" w:rsidRPr="005B0BCB">
        <w:rPr>
          <w:rFonts w:ascii="Times New Roman" w:hAnsi="Times New Roman" w:cs="Times New Roman"/>
          <w:b/>
          <w:sz w:val="28"/>
          <w:szCs w:val="28"/>
        </w:rPr>
        <w:t xml:space="preserve"> индекса развития человеческого капитала и основные направления </w:t>
      </w:r>
      <w:r>
        <w:rPr>
          <w:rFonts w:ascii="Times New Roman" w:hAnsi="Times New Roman" w:cs="Times New Roman"/>
          <w:b/>
          <w:sz w:val="28"/>
          <w:szCs w:val="28"/>
        </w:rPr>
        <w:t xml:space="preserve">её </w:t>
      </w:r>
      <w:r w:rsidR="00C11FC2" w:rsidRPr="005B0BCB">
        <w:rPr>
          <w:rFonts w:ascii="Times New Roman" w:hAnsi="Times New Roman" w:cs="Times New Roman"/>
          <w:b/>
          <w:sz w:val="28"/>
          <w:szCs w:val="28"/>
        </w:rPr>
        <w:t>совершенствования</w:t>
      </w:r>
    </w:p>
    <w:p w:rsidR="005B0BCB" w:rsidRPr="005B0BCB" w:rsidRDefault="005B0BCB" w:rsidP="005B0BCB">
      <w:pPr>
        <w:pStyle w:val="a5"/>
        <w:shd w:val="clear" w:color="auto" w:fill="FFFFFF"/>
        <w:spacing w:before="0" w:beforeAutospacing="0" w:after="300" w:afterAutospacing="0" w:line="360" w:lineRule="atLeast"/>
        <w:jc w:val="center"/>
        <w:rPr>
          <w:i/>
          <w:sz w:val="28"/>
          <w:szCs w:val="28"/>
        </w:rPr>
      </w:pPr>
      <w:r w:rsidRPr="005B0BCB">
        <w:rPr>
          <w:i/>
          <w:sz w:val="28"/>
          <w:szCs w:val="28"/>
        </w:rPr>
        <w:t>Горно-Алтайский государственный университет</w:t>
      </w:r>
    </w:p>
    <w:p w:rsidR="005B0BCB" w:rsidRPr="005B0BCB" w:rsidRDefault="005B0BCB" w:rsidP="005B0BCB">
      <w:pPr>
        <w:pStyle w:val="a5"/>
        <w:shd w:val="clear" w:color="auto" w:fill="FFFFFF"/>
        <w:spacing w:before="0" w:beforeAutospacing="0" w:after="300" w:afterAutospacing="0" w:line="360" w:lineRule="atLeast"/>
        <w:jc w:val="right"/>
        <w:rPr>
          <w:sz w:val="28"/>
          <w:szCs w:val="28"/>
        </w:rPr>
      </w:pPr>
      <w:proofErr w:type="spellStart"/>
      <w:r w:rsidRPr="005B0BCB">
        <w:rPr>
          <w:sz w:val="28"/>
          <w:szCs w:val="28"/>
        </w:rPr>
        <w:t>Наева</w:t>
      </w:r>
      <w:proofErr w:type="spellEnd"/>
      <w:r w:rsidRPr="005B0BCB">
        <w:rPr>
          <w:sz w:val="28"/>
          <w:szCs w:val="28"/>
        </w:rPr>
        <w:t xml:space="preserve"> О.М., магистрант.</w:t>
      </w:r>
    </w:p>
    <w:p w:rsidR="00C11FC2" w:rsidRPr="005B0BCB" w:rsidRDefault="00C11FC2" w:rsidP="005B0BCB">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Основная цель исследования человеческого потенциала — сфокусироваться не только на улучшении экономических показателей, но и на создании политики, которая будет стремиться к улучшению благополучия человечества. При подсчете индекса человеческого развития учитываются три составляющие: ожидаемая продолжительность жизни, валовой внутренний продукт на душу населения, рассчитанный по ППС, и показатели образования. Из этих трех составляющих была выведена формула, необходимая для подсчета индекса. Существует два основных метода подсчета индекса человеческого развития. Первый метод использовался Программой Развития ООН до 2010 года и будет использован в данной главе для региональных сравнений в России. Второй, более сложный, впервые был представлен в 2011 году, но его невозможно рассчитать для российских регионов по причине отсутствия необходимых статистических данных.</w:t>
      </w:r>
      <w:r w:rsidRPr="005B0BCB">
        <w:rPr>
          <w:rStyle w:val="a8"/>
          <w:rFonts w:ascii="Times New Roman" w:hAnsi="Times New Roman" w:cs="Times New Roman"/>
          <w:sz w:val="28"/>
          <w:szCs w:val="28"/>
        </w:rPr>
        <w:footnoteReference w:id="2"/>
      </w:r>
    </w:p>
    <w:p w:rsidR="00C11FC2" w:rsidRPr="005B0BCB" w:rsidRDefault="00C11FC2" w:rsidP="00C11FC2">
      <w:pPr>
        <w:pStyle w:val="a3"/>
        <w:spacing w:before="240" w:line="360" w:lineRule="auto"/>
        <w:ind w:left="0" w:firstLine="709"/>
        <w:jc w:val="both"/>
        <w:rPr>
          <w:rFonts w:ascii="Times New Roman" w:hAnsi="Times New Roman" w:cs="Times New Roman"/>
          <w:sz w:val="28"/>
          <w:szCs w:val="28"/>
        </w:rPr>
      </w:pPr>
      <w:r w:rsidRPr="005B0BCB">
        <w:rPr>
          <w:rFonts w:ascii="Times New Roman" w:hAnsi="Times New Roman" w:cs="Times New Roman"/>
          <w:sz w:val="28"/>
          <w:szCs w:val="28"/>
        </w:rPr>
        <w:t xml:space="preserve">При расчете индекса дохода для субъектов Российской Федерации вводятся дополнительные процедуры: </w:t>
      </w:r>
    </w:p>
    <w:p w:rsidR="00C11FC2" w:rsidRPr="005B0BCB" w:rsidRDefault="00C11FC2" w:rsidP="00C11FC2">
      <w:pPr>
        <w:pStyle w:val="a3"/>
        <w:spacing w:before="240" w:line="360" w:lineRule="auto"/>
        <w:ind w:left="0" w:firstLine="709"/>
        <w:jc w:val="both"/>
        <w:rPr>
          <w:rFonts w:ascii="Times New Roman" w:hAnsi="Times New Roman" w:cs="Times New Roman"/>
          <w:sz w:val="28"/>
          <w:szCs w:val="28"/>
        </w:rPr>
      </w:pPr>
      <w:r w:rsidRPr="005B0BCB">
        <w:rPr>
          <w:rFonts w:ascii="Times New Roman" w:hAnsi="Times New Roman" w:cs="Times New Roman"/>
          <w:sz w:val="28"/>
          <w:szCs w:val="28"/>
        </w:rPr>
        <w:t xml:space="preserve">- корректировка (пропорциональное увеличение) ВРП каждого субъекта Российской Федерации на </w:t>
      </w:r>
      <w:proofErr w:type="spellStart"/>
      <w:r w:rsidRPr="005B0BCB">
        <w:rPr>
          <w:rFonts w:ascii="Times New Roman" w:hAnsi="Times New Roman" w:cs="Times New Roman"/>
          <w:sz w:val="28"/>
          <w:szCs w:val="28"/>
        </w:rPr>
        <w:t>нераспределяемую</w:t>
      </w:r>
      <w:proofErr w:type="spellEnd"/>
      <w:r w:rsidRPr="005B0BCB">
        <w:rPr>
          <w:rFonts w:ascii="Times New Roman" w:hAnsi="Times New Roman" w:cs="Times New Roman"/>
          <w:sz w:val="28"/>
          <w:szCs w:val="28"/>
        </w:rPr>
        <w:t xml:space="preserve"> часть В</w:t>
      </w:r>
      <w:proofErr w:type="gramStart"/>
      <w:r w:rsidRPr="005B0BCB">
        <w:rPr>
          <w:rFonts w:ascii="Times New Roman" w:hAnsi="Times New Roman" w:cs="Times New Roman"/>
          <w:sz w:val="28"/>
          <w:szCs w:val="28"/>
        </w:rPr>
        <w:t>ВП стр</w:t>
      </w:r>
      <w:proofErr w:type="gramEnd"/>
      <w:r w:rsidRPr="005B0BCB">
        <w:rPr>
          <w:rFonts w:ascii="Times New Roman" w:hAnsi="Times New Roman" w:cs="Times New Roman"/>
          <w:sz w:val="28"/>
          <w:szCs w:val="28"/>
        </w:rPr>
        <w:t xml:space="preserve">аны (в разные годы ее доля достигает 20–25% ВВП страны); </w:t>
      </w:r>
    </w:p>
    <w:p w:rsidR="00C11FC2" w:rsidRPr="005B0BCB" w:rsidRDefault="00C11FC2" w:rsidP="00C11FC2">
      <w:pPr>
        <w:pStyle w:val="a3"/>
        <w:spacing w:before="240" w:line="360" w:lineRule="auto"/>
        <w:ind w:left="0" w:firstLine="709"/>
        <w:jc w:val="both"/>
        <w:rPr>
          <w:rFonts w:ascii="Times New Roman" w:hAnsi="Times New Roman" w:cs="Times New Roman"/>
          <w:sz w:val="28"/>
          <w:szCs w:val="28"/>
        </w:rPr>
      </w:pPr>
      <w:r w:rsidRPr="005B0BCB">
        <w:rPr>
          <w:rFonts w:ascii="Times New Roman" w:hAnsi="Times New Roman" w:cs="Times New Roman"/>
          <w:sz w:val="28"/>
          <w:szCs w:val="28"/>
        </w:rPr>
        <w:t xml:space="preserve">- корректировка ВРП на разницу в ценах путем умножения на отношение </w:t>
      </w:r>
      <w:proofErr w:type="spellStart"/>
      <w:r w:rsidRPr="005B0BCB">
        <w:rPr>
          <w:rFonts w:ascii="Times New Roman" w:hAnsi="Times New Roman" w:cs="Times New Roman"/>
          <w:sz w:val="28"/>
          <w:szCs w:val="28"/>
        </w:rPr>
        <w:t>среднероссийского</w:t>
      </w:r>
      <w:proofErr w:type="spellEnd"/>
      <w:r w:rsidRPr="005B0BCB">
        <w:rPr>
          <w:rFonts w:ascii="Times New Roman" w:hAnsi="Times New Roman" w:cs="Times New Roman"/>
          <w:sz w:val="28"/>
          <w:szCs w:val="28"/>
        </w:rPr>
        <w:t xml:space="preserve"> прожиточного минимума к прожиточному минимуму в регионе либо на отношение стоимости фиксированного набора товаров и услуг — по сути, применяется </w:t>
      </w:r>
      <w:proofErr w:type="spellStart"/>
      <w:r w:rsidRPr="005B0BCB">
        <w:rPr>
          <w:rFonts w:ascii="Times New Roman" w:hAnsi="Times New Roman" w:cs="Times New Roman"/>
          <w:sz w:val="28"/>
          <w:szCs w:val="28"/>
        </w:rPr>
        <w:t>внутристрановой</w:t>
      </w:r>
      <w:proofErr w:type="spellEnd"/>
      <w:r w:rsidRPr="005B0BCB">
        <w:rPr>
          <w:rFonts w:ascii="Times New Roman" w:hAnsi="Times New Roman" w:cs="Times New Roman"/>
          <w:sz w:val="28"/>
          <w:szCs w:val="28"/>
        </w:rPr>
        <w:t xml:space="preserve"> паритет покупательной способности;</w:t>
      </w:r>
    </w:p>
    <w:p w:rsidR="002521AF" w:rsidRDefault="00C11FC2" w:rsidP="002521AF">
      <w:pPr>
        <w:pStyle w:val="a3"/>
        <w:spacing w:before="240" w:after="0" w:line="360" w:lineRule="auto"/>
        <w:ind w:left="0" w:firstLine="709"/>
        <w:jc w:val="both"/>
        <w:rPr>
          <w:rFonts w:ascii="Times New Roman" w:hAnsi="Times New Roman" w:cs="Times New Roman"/>
          <w:sz w:val="28"/>
          <w:szCs w:val="28"/>
        </w:rPr>
      </w:pPr>
      <w:r w:rsidRPr="005B0BCB">
        <w:rPr>
          <w:rFonts w:ascii="Times New Roman" w:hAnsi="Times New Roman" w:cs="Times New Roman"/>
          <w:sz w:val="28"/>
          <w:szCs w:val="28"/>
        </w:rPr>
        <w:lastRenderedPageBreak/>
        <w:t xml:space="preserve">- пересчет в доллары США по ППС для данного года — рассчитывается Всемирным банком в рамках Программы международных сопоставлений (в которой </w:t>
      </w:r>
      <w:proofErr w:type="gramStart"/>
      <w:r w:rsidRPr="005B0BCB">
        <w:rPr>
          <w:rFonts w:ascii="Times New Roman" w:hAnsi="Times New Roman" w:cs="Times New Roman"/>
          <w:sz w:val="28"/>
          <w:szCs w:val="28"/>
        </w:rPr>
        <w:t>участвует</w:t>
      </w:r>
      <w:proofErr w:type="gramEnd"/>
      <w:r w:rsidRPr="005B0BCB">
        <w:rPr>
          <w:rFonts w:ascii="Times New Roman" w:hAnsi="Times New Roman" w:cs="Times New Roman"/>
          <w:sz w:val="28"/>
          <w:szCs w:val="28"/>
        </w:rPr>
        <w:t xml:space="preserve"> в том числе и Росстат), хотя она несколько отличается от оценок, используемых МВФ. Охват образованием рассчитывается как отношение числа учащихся учебных заведений всех видов (школы, начальные, средние и высшие профессиональные учебные заведения) к численности населения в возрасте 7–24 </w:t>
      </w:r>
      <w:proofErr w:type="spellStart"/>
      <w:r w:rsidRPr="005B0BCB">
        <w:rPr>
          <w:rFonts w:ascii="Times New Roman" w:hAnsi="Times New Roman" w:cs="Times New Roman"/>
          <w:sz w:val="28"/>
          <w:szCs w:val="28"/>
        </w:rPr>
        <w:t>лет</w:t>
      </w:r>
      <w:proofErr w:type="gramStart"/>
      <w:r w:rsidRPr="005B0BCB">
        <w:rPr>
          <w:rFonts w:ascii="Times New Roman" w:hAnsi="Times New Roman" w:cs="Times New Roman"/>
          <w:sz w:val="28"/>
          <w:szCs w:val="28"/>
        </w:rPr>
        <w:t>.П</w:t>
      </w:r>
      <w:proofErr w:type="gramEnd"/>
      <w:r w:rsidRPr="005B0BCB">
        <w:rPr>
          <w:rFonts w:ascii="Times New Roman" w:hAnsi="Times New Roman" w:cs="Times New Roman"/>
          <w:sz w:val="28"/>
          <w:szCs w:val="28"/>
        </w:rPr>
        <w:t>ри</w:t>
      </w:r>
      <w:proofErr w:type="spellEnd"/>
      <w:r w:rsidRPr="005B0BCB">
        <w:rPr>
          <w:rFonts w:ascii="Times New Roman" w:hAnsi="Times New Roman" w:cs="Times New Roman"/>
          <w:sz w:val="28"/>
          <w:szCs w:val="28"/>
        </w:rPr>
        <w:t xml:space="preserve"> расчете ИЧР учитываются такие индикаторы, как средняя продолжительность жизни, душевые показатели образования и дохода. Существует два способа расчета индекса. </w:t>
      </w:r>
    </w:p>
    <w:p w:rsidR="002521AF" w:rsidRDefault="00C11FC2" w:rsidP="00C11FC2">
      <w:pPr>
        <w:spacing w:after="0" w:line="360" w:lineRule="auto"/>
        <w:ind w:firstLine="567"/>
        <w:jc w:val="both"/>
        <w:rPr>
          <w:rFonts w:ascii="Times New Roman" w:hAnsi="Times New Roman" w:cs="Times New Roman"/>
          <w:sz w:val="28"/>
          <w:szCs w:val="28"/>
        </w:rPr>
      </w:pPr>
      <w:r w:rsidRPr="005B0BCB">
        <w:rPr>
          <w:rFonts w:ascii="Times New Roman" w:hAnsi="Times New Roman" w:cs="Times New Roman"/>
          <w:sz w:val="28"/>
          <w:szCs w:val="28"/>
        </w:rPr>
        <w:t>Первый использовался Программо</w:t>
      </w:r>
      <w:r w:rsidR="002521AF">
        <w:rPr>
          <w:rFonts w:ascii="Times New Roman" w:hAnsi="Times New Roman" w:cs="Times New Roman"/>
          <w:sz w:val="28"/>
          <w:szCs w:val="28"/>
        </w:rPr>
        <w:t xml:space="preserve">й Развития ООН до 2010 года, и </w:t>
      </w:r>
      <w:r w:rsidRPr="005B0BCB">
        <w:rPr>
          <w:rFonts w:ascii="Times New Roman" w:hAnsi="Times New Roman" w:cs="Times New Roman"/>
          <w:sz w:val="28"/>
          <w:szCs w:val="28"/>
        </w:rPr>
        <w:t xml:space="preserve">применен </w:t>
      </w:r>
      <w:r w:rsidR="002521AF">
        <w:rPr>
          <w:rFonts w:ascii="Times New Roman" w:hAnsi="Times New Roman" w:cs="Times New Roman"/>
          <w:sz w:val="28"/>
          <w:szCs w:val="28"/>
        </w:rPr>
        <w:t>для</w:t>
      </w:r>
      <w:r w:rsidRPr="005B0BCB">
        <w:rPr>
          <w:rFonts w:ascii="Times New Roman" w:hAnsi="Times New Roman" w:cs="Times New Roman"/>
          <w:sz w:val="28"/>
          <w:szCs w:val="28"/>
        </w:rPr>
        <w:t xml:space="preserve"> расчета индекса  регионов России. Данный метод предполагает расчет ИЧР как среднеарифметического трех индексов: долголетия (рассчитывается на основе средней продолжительности жизни), образования (рассчитывается на основе доли грамотного населения и доли обучающихся среди людей в возрасте от 7 до 24 лет) и дохода (рассчитывается на основе ВВП на душу населения по паритету покупател</w:t>
      </w:r>
      <w:r w:rsidR="003D2EDD" w:rsidRPr="005B0BCB">
        <w:rPr>
          <w:rFonts w:ascii="Times New Roman" w:hAnsi="Times New Roman" w:cs="Times New Roman"/>
          <w:sz w:val="28"/>
          <w:szCs w:val="28"/>
        </w:rPr>
        <w:t>ьной способности (далее — ППС)</w:t>
      </w:r>
      <w:proofErr w:type="gramStart"/>
      <w:r w:rsidR="003D2EDD" w:rsidRPr="005B0BCB">
        <w:rPr>
          <w:rFonts w:ascii="Times New Roman" w:hAnsi="Times New Roman" w:cs="Times New Roman"/>
          <w:sz w:val="28"/>
          <w:szCs w:val="28"/>
        </w:rPr>
        <w:t>.</w:t>
      </w:r>
      <w:r w:rsidRPr="005B0BCB">
        <w:rPr>
          <w:rFonts w:ascii="Times New Roman" w:hAnsi="Times New Roman" w:cs="Times New Roman"/>
          <w:sz w:val="28"/>
          <w:szCs w:val="28"/>
        </w:rPr>
        <w:t>О</w:t>
      </w:r>
      <w:proofErr w:type="gramEnd"/>
      <w:r w:rsidRPr="005B0BCB">
        <w:rPr>
          <w:rFonts w:ascii="Times New Roman" w:hAnsi="Times New Roman" w:cs="Times New Roman"/>
          <w:sz w:val="28"/>
          <w:szCs w:val="28"/>
        </w:rPr>
        <w:t xml:space="preserve">сновной принцип расчета каждой из составных частей — сравнение текущей ситуации с максимальными (желаемыми) и минимальными значениями. </w:t>
      </w:r>
    </w:p>
    <w:p w:rsidR="00C11FC2" w:rsidRPr="005B0BCB" w:rsidRDefault="00C11FC2" w:rsidP="00C11FC2">
      <w:pPr>
        <w:spacing w:after="0" w:line="360" w:lineRule="auto"/>
        <w:ind w:firstLine="567"/>
        <w:jc w:val="both"/>
        <w:rPr>
          <w:rFonts w:ascii="Times New Roman" w:hAnsi="Times New Roman" w:cs="Times New Roman"/>
          <w:sz w:val="28"/>
          <w:szCs w:val="28"/>
        </w:rPr>
      </w:pPr>
      <w:r w:rsidRPr="005B0BCB">
        <w:rPr>
          <w:rFonts w:ascii="Times New Roman" w:hAnsi="Times New Roman" w:cs="Times New Roman"/>
          <w:sz w:val="28"/>
          <w:szCs w:val="28"/>
        </w:rPr>
        <w:t xml:space="preserve">Второй (новый) метод подсчета был представлен ООН в 2011 году; он представляет собой усовершенствованный вариант первого метода за счет добавления новых компонентов (продолжительность обучения, ожидаемая продолжительность обучения, валовой национальный доход на душу населения по ППС) и усложнения итоговой формулы. </w:t>
      </w:r>
      <w:proofErr w:type="gramStart"/>
      <w:r w:rsidRPr="005B0BCB">
        <w:rPr>
          <w:rFonts w:ascii="Times New Roman" w:hAnsi="Times New Roman" w:cs="Times New Roman"/>
          <w:sz w:val="28"/>
          <w:szCs w:val="28"/>
        </w:rPr>
        <w:t>В связи с отсутствием в России региональной статистики по этим показателям в данной главе</w:t>
      </w:r>
      <w:proofErr w:type="gramEnd"/>
      <w:r w:rsidRPr="005B0BCB">
        <w:rPr>
          <w:rFonts w:ascii="Times New Roman" w:hAnsi="Times New Roman" w:cs="Times New Roman"/>
          <w:sz w:val="28"/>
          <w:szCs w:val="28"/>
        </w:rPr>
        <w:t xml:space="preserve"> используется первый метод расчета ИЧР. Основная цель расчета ИЧР состоит в том, чтобы не только сфокусироваться на сравнении экономических показателей развития регионов, но и учесть разницу в уровне и качестве жизни и развития человеческого капитала. </w:t>
      </w:r>
    </w:p>
    <w:p w:rsidR="00C11FC2" w:rsidRPr="005B0BCB" w:rsidRDefault="00C11FC2" w:rsidP="00C11FC2">
      <w:pPr>
        <w:spacing w:after="0" w:line="360" w:lineRule="auto"/>
        <w:ind w:firstLine="567"/>
        <w:jc w:val="both"/>
        <w:rPr>
          <w:rFonts w:ascii="Times New Roman" w:hAnsi="Times New Roman" w:cs="Times New Roman"/>
          <w:sz w:val="28"/>
          <w:szCs w:val="28"/>
        </w:rPr>
      </w:pPr>
      <w:r w:rsidRPr="005B0BCB">
        <w:rPr>
          <w:rFonts w:ascii="Times New Roman" w:hAnsi="Times New Roman" w:cs="Times New Roman"/>
          <w:sz w:val="28"/>
          <w:szCs w:val="28"/>
        </w:rPr>
        <w:lastRenderedPageBreak/>
        <w:t>Таблица 1</w:t>
      </w:r>
      <w:r w:rsidR="00FB47FB">
        <w:rPr>
          <w:rFonts w:ascii="Times New Roman" w:hAnsi="Times New Roman" w:cs="Times New Roman"/>
          <w:sz w:val="28"/>
          <w:szCs w:val="28"/>
        </w:rPr>
        <w:t xml:space="preserve"> </w:t>
      </w:r>
      <w:r w:rsidRPr="005B0BCB">
        <w:rPr>
          <w:rFonts w:ascii="Times New Roman" w:hAnsi="Times New Roman" w:cs="Times New Roman"/>
          <w:sz w:val="28"/>
          <w:szCs w:val="28"/>
        </w:rPr>
        <w:t>демонстрирует региональные значения ИЧР и его компонент в 2013–2015 годах. Важно, что в 2015 году Росстат пересчитал ВРП за 2013–2014 годы с учетом включения новых компонентов, поэтому значения ИЧР за 2013 год, пересчитаны с учетом новых данных Росстата. Необходимо вносить корректировки при расчете индекса развития человеческого потенциала, исходя из особенностей субъектов Российской федерации.</w:t>
      </w:r>
    </w:p>
    <w:p w:rsidR="00C11FC2" w:rsidRPr="005B0BCB" w:rsidRDefault="00C11FC2" w:rsidP="00C11FC2">
      <w:pPr>
        <w:spacing w:after="0" w:line="360" w:lineRule="auto"/>
        <w:ind w:firstLine="567"/>
        <w:jc w:val="both"/>
        <w:rPr>
          <w:rFonts w:ascii="Times New Roman" w:hAnsi="Times New Roman" w:cs="Times New Roman"/>
          <w:sz w:val="28"/>
          <w:szCs w:val="28"/>
        </w:rPr>
      </w:pPr>
      <w:r w:rsidRPr="005B0BCB">
        <w:rPr>
          <w:rFonts w:ascii="Times New Roman" w:hAnsi="Times New Roman" w:cs="Times New Roman"/>
          <w:sz w:val="28"/>
          <w:szCs w:val="28"/>
        </w:rPr>
        <w:t xml:space="preserve">Прежде всего, необходима корректировка валового регионального продукта, так как отдельные виды экономических операций учитываются только в целом по стране. Для более точного расчета необходима региональная статистика. Поскольку прожиточный минимум в разных регионах различный, необходима корректировка исходя из паритета покупательной способности, который можно рассчитать, исходя из соотношения </w:t>
      </w:r>
      <w:proofErr w:type="spellStart"/>
      <w:r w:rsidRPr="005B0BCB">
        <w:rPr>
          <w:rFonts w:ascii="Times New Roman" w:hAnsi="Times New Roman" w:cs="Times New Roman"/>
          <w:sz w:val="28"/>
          <w:szCs w:val="28"/>
        </w:rPr>
        <w:t>среднероссийского</w:t>
      </w:r>
      <w:proofErr w:type="spellEnd"/>
      <w:r w:rsidRPr="005B0BCB">
        <w:rPr>
          <w:rFonts w:ascii="Times New Roman" w:hAnsi="Times New Roman" w:cs="Times New Roman"/>
          <w:sz w:val="28"/>
          <w:szCs w:val="28"/>
        </w:rPr>
        <w:t xml:space="preserve"> уровня к </w:t>
      </w:r>
      <w:proofErr w:type="gramStart"/>
      <w:r w:rsidRPr="005B0BCB">
        <w:rPr>
          <w:rFonts w:ascii="Times New Roman" w:hAnsi="Times New Roman" w:cs="Times New Roman"/>
          <w:sz w:val="28"/>
          <w:szCs w:val="28"/>
        </w:rPr>
        <w:t>региональному</w:t>
      </w:r>
      <w:proofErr w:type="gramEnd"/>
      <w:r w:rsidRPr="005B0BCB">
        <w:rPr>
          <w:rFonts w:ascii="Times New Roman" w:hAnsi="Times New Roman" w:cs="Times New Roman"/>
          <w:sz w:val="28"/>
          <w:szCs w:val="28"/>
        </w:rPr>
        <w:t>, учитывая региональные особенности (уровень потребительских цен и размер зарплат).</w:t>
      </w:r>
    </w:p>
    <w:p w:rsidR="00C11FC2" w:rsidRPr="005B0BCB" w:rsidRDefault="00C11FC2" w:rsidP="00C11FC2">
      <w:pPr>
        <w:spacing w:after="0" w:line="360" w:lineRule="auto"/>
        <w:ind w:firstLine="567"/>
        <w:jc w:val="both"/>
        <w:rPr>
          <w:rFonts w:ascii="Times New Roman" w:hAnsi="Times New Roman" w:cs="Times New Roman"/>
          <w:b/>
          <w:sz w:val="28"/>
          <w:szCs w:val="28"/>
        </w:rPr>
      </w:pPr>
      <w:bookmarkStart w:id="0" w:name="_GoBack"/>
      <w:bookmarkEnd w:id="0"/>
      <w:r w:rsidRPr="005B0BCB">
        <w:rPr>
          <w:rFonts w:ascii="Times New Roman" w:hAnsi="Times New Roman" w:cs="Times New Roman"/>
          <w:sz w:val="28"/>
          <w:szCs w:val="28"/>
        </w:rPr>
        <w:t xml:space="preserve">В Москве за 2015 год самый высокий показатель душевого ВВП в долларах по стране, равный 40 733, при этом в среднем по стране показатель равен 23 565. В Республике Алтай за 2015 год душевой ВВП равен 9384, то есть на 434% меньше, чем в Москве. А если скорректировать, исходя из паритета покупательной способности, то получим, что уровень ВВП в Республике Алтай меньше чем в Москве на 262%. Паритет покупательной способности рассчитан как отношение </w:t>
      </w:r>
      <w:proofErr w:type="spellStart"/>
      <w:r w:rsidRPr="005B0BCB">
        <w:rPr>
          <w:rFonts w:ascii="Times New Roman" w:hAnsi="Times New Roman" w:cs="Times New Roman"/>
          <w:sz w:val="28"/>
          <w:szCs w:val="28"/>
        </w:rPr>
        <w:t>среднероссийского</w:t>
      </w:r>
      <w:proofErr w:type="spellEnd"/>
      <w:r w:rsidRPr="005B0BCB">
        <w:rPr>
          <w:rFonts w:ascii="Times New Roman" w:hAnsi="Times New Roman" w:cs="Times New Roman"/>
          <w:sz w:val="28"/>
          <w:szCs w:val="28"/>
        </w:rPr>
        <w:t xml:space="preserve"> прожиточного минимума </w:t>
      </w:r>
      <w:proofErr w:type="gramStart"/>
      <w:r w:rsidRPr="005B0BCB">
        <w:rPr>
          <w:rFonts w:ascii="Times New Roman" w:hAnsi="Times New Roman" w:cs="Times New Roman"/>
          <w:sz w:val="28"/>
          <w:szCs w:val="28"/>
        </w:rPr>
        <w:t>к</w:t>
      </w:r>
      <w:proofErr w:type="gramEnd"/>
      <w:r w:rsidRPr="005B0BCB">
        <w:rPr>
          <w:rFonts w:ascii="Times New Roman" w:hAnsi="Times New Roman" w:cs="Times New Roman"/>
          <w:sz w:val="28"/>
          <w:szCs w:val="28"/>
        </w:rPr>
        <w:t xml:space="preserve"> региональному за 2015 годы и равны 1,12 по Республике Алтай и 0,68 по г. Москва.</w:t>
      </w:r>
    </w:p>
    <w:p w:rsidR="002521AF" w:rsidRDefault="002521AF" w:rsidP="00C11FC2">
      <w:pPr>
        <w:spacing w:after="0" w:line="360" w:lineRule="auto"/>
        <w:ind w:firstLine="567"/>
        <w:jc w:val="both"/>
        <w:rPr>
          <w:rFonts w:ascii="Times New Roman" w:hAnsi="Times New Roman" w:cs="Times New Roman"/>
          <w:sz w:val="28"/>
          <w:szCs w:val="28"/>
        </w:rPr>
      </w:pPr>
    </w:p>
    <w:p w:rsidR="002521AF" w:rsidRDefault="002521AF" w:rsidP="00C11FC2">
      <w:pPr>
        <w:spacing w:after="0" w:line="360" w:lineRule="auto"/>
        <w:ind w:firstLine="567"/>
        <w:jc w:val="both"/>
        <w:rPr>
          <w:rFonts w:ascii="Times New Roman" w:hAnsi="Times New Roman" w:cs="Times New Roman"/>
          <w:sz w:val="28"/>
          <w:szCs w:val="28"/>
        </w:rPr>
      </w:pPr>
    </w:p>
    <w:p w:rsidR="002521AF" w:rsidRDefault="002521AF" w:rsidP="00C11FC2">
      <w:pPr>
        <w:spacing w:after="0" w:line="360" w:lineRule="auto"/>
        <w:ind w:firstLine="567"/>
        <w:jc w:val="both"/>
        <w:rPr>
          <w:rFonts w:ascii="Times New Roman" w:hAnsi="Times New Roman" w:cs="Times New Roman"/>
          <w:sz w:val="28"/>
          <w:szCs w:val="28"/>
        </w:rPr>
      </w:pPr>
    </w:p>
    <w:p w:rsidR="002521AF" w:rsidRDefault="002521AF" w:rsidP="00C11FC2">
      <w:pPr>
        <w:spacing w:after="0" w:line="360" w:lineRule="auto"/>
        <w:ind w:firstLine="567"/>
        <w:jc w:val="both"/>
        <w:rPr>
          <w:rFonts w:ascii="Times New Roman" w:hAnsi="Times New Roman" w:cs="Times New Roman"/>
          <w:sz w:val="28"/>
          <w:szCs w:val="28"/>
        </w:rPr>
      </w:pPr>
    </w:p>
    <w:p w:rsidR="002521AF" w:rsidRDefault="002521AF" w:rsidP="00C11FC2">
      <w:pPr>
        <w:spacing w:after="0" w:line="360" w:lineRule="auto"/>
        <w:ind w:firstLine="567"/>
        <w:jc w:val="both"/>
        <w:rPr>
          <w:rFonts w:ascii="Times New Roman" w:hAnsi="Times New Roman" w:cs="Times New Roman"/>
          <w:sz w:val="28"/>
          <w:szCs w:val="28"/>
        </w:rPr>
      </w:pPr>
    </w:p>
    <w:p w:rsidR="002521AF" w:rsidRDefault="002521AF" w:rsidP="00C11FC2">
      <w:pPr>
        <w:spacing w:after="0" w:line="360" w:lineRule="auto"/>
        <w:ind w:firstLine="567"/>
        <w:jc w:val="both"/>
        <w:rPr>
          <w:rFonts w:ascii="Times New Roman" w:hAnsi="Times New Roman" w:cs="Times New Roman"/>
          <w:sz w:val="28"/>
          <w:szCs w:val="28"/>
        </w:rPr>
      </w:pPr>
    </w:p>
    <w:p w:rsidR="00C11FC2" w:rsidRPr="005B0BCB" w:rsidRDefault="00C11FC2" w:rsidP="00C11FC2">
      <w:pPr>
        <w:spacing w:after="0" w:line="360" w:lineRule="auto"/>
        <w:ind w:firstLine="567"/>
        <w:jc w:val="both"/>
        <w:rPr>
          <w:rFonts w:ascii="Times New Roman" w:hAnsi="Times New Roman" w:cs="Times New Roman"/>
          <w:sz w:val="28"/>
          <w:szCs w:val="28"/>
        </w:rPr>
      </w:pPr>
      <w:r w:rsidRPr="005B0BCB">
        <w:rPr>
          <w:rFonts w:ascii="Times New Roman" w:hAnsi="Times New Roman" w:cs="Times New Roman"/>
          <w:sz w:val="28"/>
          <w:szCs w:val="28"/>
        </w:rPr>
        <w:lastRenderedPageBreak/>
        <w:t>Таблица 1- Региональные значения ИЧР и его компонент в 2013–2015 годах.</w:t>
      </w:r>
    </w:p>
    <w:tbl>
      <w:tblPr>
        <w:tblStyle w:val="a9"/>
        <w:tblW w:w="9923" w:type="dxa"/>
        <w:tblInd w:w="-459" w:type="dxa"/>
        <w:tblLayout w:type="fixed"/>
        <w:tblLook w:val="04A0"/>
      </w:tblPr>
      <w:tblGrid>
        <w:gridCol w:w="1277"/>
        <w:gridCol w:w="1134"/>
        <w:gridCol w:w="881"/>
        <w:gridCol w:w="962"/>
        <w:gridCol w:w="848"/>
        <w:gridCol w:w="992"/>
        <w:gridCol w:w="1110"/>
        <w:gridCol w:w="1017"/>
        <w:gridCol w:w="846"/>
        <w:gridCol w:w="856"/>
      </w:tblGrid>
      <w:tr w:rsidR="00C11FC2" w:rsidRPr="005B0BCB" w:rsidTr="00F02386">
        <w:trPr>
          <w:trHeight w:val="1997"/>
        </w:trPr>
        <w:tc>
          <w:tcPr>
            <w:tcW w:w="1277" w:type="dxa"/>
          </w:tcPr>
          <w:p w:rsidR="00C11FC2" w:rsidRPr="005B0BCB" w:rsidRDefault="00C11FC2" w:rsidP="00F02386">
            <w:pPr>
              <w:pStyle w:val="a3"/>
              <w:spacing w:before="240"/>
              <w:ind w:left="0"/>
              <w:jc w:val="center"/>
              <w:rPr>
                <w:rFonts w:ascii="Times New Roman" w:hAnsi="Times New Roman" w:cs="Times New Roman"/>
                <w:sz w:val="20"/>
                <w:szCs w:val="20"/>
              </w:rPr>
            </w:pPr>
            <w:r w:rsidRPr="005B0BCB">
              <w:rPr>
                <w:rFonts w:ascii="Times New Roman" w:hAnsi="Times New Roman" w:cs="Times New Roman"/>
                <w:sz w:val="20"/>
                <w:szCs w:val="20"/>
              </w:rPr>
              <w:t>Республика Алтай</w:t>
            </w:r>
          </w:p>
        </w:tc>
        <w:tc>
          <w:tcPr>
            <w:tcW w:w="1134" w:type="dxa"/>
          </w:tcPr>
          <w:p w:rsidR="00C11FC2" w:rsidRPr="005B0BCB" w:rsidRDefault="00C11FC2" w:rsidP="00F02386">
            <w:pPr>
              <w:pStyle w:val="a3"/>
              <w:spacing w:before="240"/>
              <w:ind w:left="0"/>
              <w:jc w:val="center"/>
              <w:rPr>
                <w:rFonts w:ascii="Times New Roman" w:hAnsi="Times New Roman" w:cs="Times New Roman"/>
                <w:sz w:val="20"/>
                <w:szCs w:val="20"/>
              </w:rPr>
            </w:pPr>
            <w:r w:rsidRPr="005B0BCB">
              <w:rPr>
                <w:rFonts w:ascii="Times New Roman" w:hAnsi="Times New Roman" w:cs="Times New Roman"/>
                <w:sz w:val="20"/>
                <w:szCs w:val="20"/>
              </w:rPr>
              <w:t xml:space="preserve">Душевой </w:t>
            </w:r>
            <w:proofErr w:type="spellStart"/>
            <w:r w:rsidRPr="005B0BCB">
              <w:rPr>
                <w:rFonts w:ascii="Times New Roman" w:hAnsi="Times New Roman" w:cs="Times New Roman"/>
                <w:sz w:val="20"/>
                <w:szCs w:val="20"/>
              </w:rPr>
              <w:t>ВВП,долл</w:t>
            </w:r>
            <w:proofErr w:type="gramStart"/>
            <w:r w:rsidRPr="005B0BCB">
              <w:rPr>
                <w:rFonts w:ascii="Times New Roman" w:hAnsi="Times New Roman" w:cs="Times New Roman"/>
                <w:sz w:val="20"/>
                <w:szCs w:val="20"/>
              </w:rPr>
              <w:t>.П</w:t>
            </w:r>
            <w:proofErr w:type="gramEnd"/>
            <w:r w:rsidRPr="005B0BCB">
              <w:rPr>
                <w:rFonts w:ascii="Times New Roman" w:hAnsi="Times New Roman" w:cs="Times New Roman"/>
                <w:sz w:val="20"/>
                <w:szCs w:val="20"/>
              </w:rPr>
              <w:t>ПС</w:t>
            </w:r>
            <w:proofErr w:type="spellEnd"/>
          </w:p>
        </w:tc>
        <w:tc>
          <w:tcPr>
            <w:tcW w:w="881" w:type="dxa"/>
          </w:tcPr>
          <w:p w:rsidR="00C11FC2" w:rsidRPr="005B0BCB" w:rsidRDefault="00C11FC2" w:rsidP="00F02386">
            <w:pPr>
              <w:pStyle w:val="a3"/>
              <w:spacing w:before="240"/>
              <w:ind w:left="0"/>
              <w:jc w:val="center"/>
              <w:rPr>
                <w:rFonts w:ascii="Times New Roman" w:hAnsi="Times New Roman" w:cs="Times New Roman"/>
                <w:sz w:val="20"/>
                <w:szCs w:val="20"/>
              </w:rPr>
            </w:pPr>
            <w:r w:rsidRPr="005B0BCB">
              <w:rPr>
                <w:rFonts w:ascii="Times New Roman" w:hAnsi="Times New Roman" w:cs="Times New Roman"/>
                <w:sz w:val="20"/>
                <w:szCs w:val="20"/>
              </w:rPr>
              <w:t>Индекс дохода</w:t>
            </w:r>
          </w:p>
        </w:tc>
        <w:tc>
          <w:tcPr>
            <w:tcW w:w="962" w:type="dxa"/>
          </w:tcPr>
          <w:p w:rsidR="00C11FC2" w:rsidRPr="005B0BCB" w:rsidRDefault="00C11FC2" w:rsidP="00F02386">
            <w:pPr>
              <w:pStyle w:val="a3"/>
              <w:spacing w:before="240"/>
              <w:ind w:left="0"/>
              <w:jc w:val="center"/>
              <w:rPr>
                <w:rFonts w:ascii="Times New Roman" w:hAnsi="Times New Roman" w:cs="Times New Roman"/>
                <w:sz w:val="20"/>
                <w:szCs w:val="20"/>
              </w:rPr>
            </w:pPr>
            <w:r w:rsidRPr="005B0BCB">
              <w:rPr>
                <w:rFonts w:ascii="Times New Roman" w:hAnsi="Times New Roman" w:cs="Times New Roman"/>
                <w:sz w:val="20"/>
                <w:szCs w:val="20"/>
              </w:rPr>
              <w:t>Ожидаемая продолжительность жизни</w:t>
            </w:r>
            <w:proofErr w:type="gramStart"/>
            <w:r w:rsidRPr="005B0BCB">
              <w:rPr>
                <w:rFonts w:ascii="Times New Roman" w:hAnsi="Times New Roman" w:cs="Times New Roman"/>
                <w:sz w:val="20"/>
                <w:szCs w:val="20"/>
              </w:rPr>
              <w:t>.</w:t>
            </w:r>
            <w:proofErr w:type="gramEnd"/>
            <w:r w:rsidRPr="005B0BCB">
              <w:rPr>
                <w:rFonts w:ascii="Times New Roman" w:hAnsi="Times New Roman" w:cs="Times New Roman"/>
                <w:sz w:val="20"/>
                <w:szCs w:val="20"/>
              </w:rPr>
              <w:t xml:space="preserve"> </w:t>
            </w:r>
            <w:proofErr w:type="gramStart"/>
            <w:r w:rsidRPr="005B0BCB">
              <w:rPr>
                <w:rFonts w:ascii="Times New Roman" w:hAnsi="Times New Roman" w:cs="Times New Roman"/>
                <w:sz w:val="20"/>
                <w:szCs w:val="20"/>
              </w:rPr>
              <w:t>л</w:t>
            </w:r>
            <w:proofErr w:type="gramEnd"/>
            <w:r w:rsidRPr="005B0BCB">
              <w:rPr>
                <w:rFonts w:ascii="Times New Roman" w:hAnsi="Times New Roman" w:cs="Times New Roman"/>
                <w:sz w:val="20"/>
                <w:szCs w:val="20"/>
              </w:rPr>
              <w:t>ет</w:t>
            </w:r>
          </w:p>
        </w:tc>
        <w:tc>
          <w:tcPr>
            <w:tcW w:w="848" w:type="dxa"/>
          </w:tcPr>
          <w:p w:rsidR="00C11FC2" w:rsidRPr="005B0BCB" w:rsidRDefault="00C11FC2" w:rsidP="00F02386">
            <w:pPr>
              <w:pStyle w:val="a3"/>
              <w:spacing w:before="240"/>
              <w:ind w:left="0"/>
              <w:jc w:val="center"/>
              <w:rPr>
                <w:rFonts w:ascii="Times New Roman" w:hAnsi="Times New Roman" w:cs="Times New Roman"/>
                <w:sz w:val="20"/>
                <w:szCs w:val="20"/>
              </w:rPr>
            </w:pPr>
            <w:r w:rsidRPr="005B0BCB">
              <w:rPr>
                <w:rFonts w:ascii="Times New Roman" w:hAnsi="Times New Roman" w:cs="Times New Roman"/>
                <w:sz w:val="20"/>
                <w:szCs w:val="20"/>
              </w:rPr>
              <w:t>Индекс долголетия</w:t>
            </w:r>
          </w:p>
        </w:tc>
        <w:tc>
          <w:tcPr>
            <w:tcW w:w="992" w:type="dxa"/>
          </w:tcPr>
          <w:p w:rsidR="00C11FC2" w:rsidRPr="005B0BCB" w:rsidRDefault="00C11FC2" w:rsidP="00F02386">
            <w:pPr>
              <w:pStyle w:val="a3"/>
              <w:spacing w:before="240"/>
              <w:ind w:left="0"/>
              <w:jc w:val="center"/>
              <w:rPr>
                <w:rFonts w:ascii="Times New Roman" w:hAnsi="Times New Roman" w:cs="Times New Roman"/>
                <w:sz w:val="20"/>
                <w:szCs w:val="20"/>
              </w:rPr>
            </w:pPr>
            <w:proofErr w:type="spellStart"/>
            <w:r w:rsidRPr="005B0BCB">
              <w:rPr>
                <w:rFonts w:ascii="Times New Roman" w:hAnsi="Times New Roman" w:cs="Times New Roman"/>
                <w:sz w:val="20"/>
                <w:szCs w:val="20"/>
              </w:rPr>
              <w:t>Грамотность,%</w:t>
            </w:r>
            <w:proofErr w:type="spellEnd"/>
          </w:p>
        </w:tc>
        <w:tc>
          <w:tcPr>
            <w:tcW w:w="1110" w:type="dxa"/>
          </w:tcPr>
          <w:p w:rsidR="00C11FC2" w:rsidRPr="005B0BCB" w:rsidRDefault="00C11FC2" w:rsidP="00F02386">
            <w:pPr>
              <w:pStyle w:val="a3"/>
              <w:spacing w:before="240"/>
              <w:ind w:left="0"/>
              <w:jc w:val="center"/>
              <w:rPr>
                <w:rFonts w:ascii="Times New Roman" w:hAnsi="Times New Roman" w:cs="Times New Roman"/>
                <w:sz w:val="20"/>
                <w:szCs w:val="20"/>
              </w:rPr>
            </w:pPr>
            <w:r w:rsidRPr="005B0BCB">
              <w:rPr>
                <w:rFonts w:ascii="Times New Roman" w:hAnsi="Times New Roman" w:cs="Times New Roman"/>
                <w:sz w:val="20"/>
                <w:szCs w:val="20"/>
              </w:rPr>
              <w:t>Доля учащихся в возрасте 7-24 лет</w:t>
            </w:r>
          </w:p>
        </w:tc>
        <w:tc>
          <w:tcPr>
            <w:tcW w:w="1017" w:type="dxa"/>
          </w:tcPr>
          <w:p w:rsidR="00C11FC2" w:rsidRPr="005B0BCB" w:rsidRDefault="00C11FC2" w:rsidP="00F02386">
            <w:pPr>
              <w:pStyle w:val="a3"/>
              <w:spacing w:before="240"/>
              <w:ind w:left="0"/>
              <w:jc w:val="center"/>
              <w:rPr>
                <w:rFonts w:ascii="Times New Roman" w:hAnsi="Times New Roman" w:cs="Times New Roman"/>
                <w:sz w:val="20"/>
                <w:szCs w:val="20"/>
              </w:rPr>
            </w:pPr>
            <w:r w:rsidRPr="005B0BCB">
              <w:rPr>
                <w:rFonts w:ascii="Times New Roman" w:hAnsi="Times New Roman" w:cs="Times New Roman"/>
                <w:sz w:val="20"/>
                <w:szCs w:val="20"/>
              </w:rPr>
              <w:t>Индекс образования</w:t>
            </w:r>
          </w:p>
        </w:tc>
        <w:tc>
          <w:tcPr>
            <w:tcW w:w="846" w:type="dxa"/>
          </w:tcPr>
          <w:p w:rsidR="00C11FC2" w:rsidRPr="005B0BCB" w:rsidRDefault="00C11FC2" w:rsidP="00F02386">
            <w:pPr>
              <w:pStyle w:val="a3"/>
              <w:spacing w:before="240"/>
              <w:ind w:left="0"/>
              <w:jc w:val="center"/>
              <w:rPr>
                <w:rFonts w:ascii="Times New Roman" w:hAnsi="Times New Roman" w:cs="Times New Roman"/>
                <w:b/>
                <w:sz w:val="20"/>
                <w:szCs w:val="20"/>
              </w:rPr>
            </w:pPr>
            <w:r w:rsidRPr="005B0BCB">
              <w:rPr>
                <w:rFonts w:ascii="Times New Roman" w:hAnsi="Times New Roman" w:cs="Times New Roman"/>
                <w:b/>
                <w:sz w:val="20"/>
                <w:szCs w:val="20"/>
              </w:rPr>
              <w:t>ИЧР</w:t>
            </w:r>
          </w:p>
        </w:tc>
        <w:tc>
          <w:tcPr>
            <w:tcW w:w="856" w:type="dxa"/>
          </w:tcPr>
          <w:p w:rsidR="00C11FC2" w:rsidRPr="005B0BCB" w:rsidRDefault="00C11FC2" w:rsidP="00F02386">
            <w:pPr>
              <w:pStyle w:val="a3"/>
              <w:spacing w:before="240"/>
              <w:ind w:left="0"/>
              <w:jc w:val="center"/>
              <w:rPr>
                <w:rFonts w:ascii="Times New Roman" w:hAnsi="Times New Roman" w:cs="Times New Roman"/>
                <w:sz w:val="20"/>
                <w:szCs w:val="20"/>
              </w:rPr>
            </w:pPr>
            <w:r w:rsidRPr="005B0BCB">
              <w:rPr>
                <w:rFonts w:ascii="Times New Roman" w:hAnsi="Times New Roman" w:cs="Times New Roman"/>
                <w:sz w:val="20"/>
                <w:szCs w:val="20"/>
              </w:rPr>
              <w:t>Место</w:t>
            </w:r>
          </w:p>
        </w:tc>
      </w:tr>
      <w:tr w:rsidR="00C11FC2" w:rsidRPr="005B0BCB" w:rsidTr="00F02386">
        <w:tc>
          <w:tcPr>
            <w:tcW w:w="1277"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2013</w:t>
            </w:r>
          </w:p>
        </w:tc>
        <w:tc>
          <w:tcPr>
            <w:tcW w:w="1134"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9 696</w:t>
            </w:r>
          </w:p>
        </w:tc>
        <w:tc>
          <w:tcPr>
            <w:tcW w:w="881"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0,763</w:t>
            </w:r>
          </w:p>
        </w:tc>
        <w:tc>
          <w:tcPr>
            <w:tcW w:w="962"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67,34</w:t>
            </w:r>
          </w:p>
        </w:tc>
        <w:tc>
          <w:tcPr>
            <w:tcW w:w="848"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0,706</w:t>
            </w:r>
          </w:p>
        </w:tc>
        <w:tc>
          <w:tcPr>
            <w:tcW w:w="992"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99,5</w:t>
            </w:r>
          </w:p>
        </w:tc>
        <w:tc>
          <w:tcPr>
            <w:tcW w:w="1110"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0,852</w:t>
            </w:r>
          </w:p>
        </w:tc>
        <w:tc>
          <w:tcPr>
            <w:tcW w:w="1017"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0,947</w:t>
            </w:r>
          </w:p>
        </w:tc>
        <w:tc>
          <w:tcPr>
            <w:tcW w:w="846" w:type="dxa"/>
          </w:tcPr>
          <w:p w:rsidR="00C11FC2" w:rsidRPr="005B0BCB" w:rsidRDefault="00C11FC2" w:rsidP="00F02386">
            <w:pPr>
              <w:pStyle w:val="a3"/>
              <w:spacing w:before="240"/>
              <w:ind w:left="0"/>
              <w:jc w:val="center"/>
              <w:rPr>
                <w:rFonts w:ascii="Times New Roman" w:hAnsi="Times New Roman" w:cs="Times New Roman"/>
                <w:b/>
                <w:sz w:val="24"/>
                <w:szCs w:val="24"/>
              </w:rPr>
            </w:pPr>
            <w:r w:rsidRPr="005B0BCB">
              <w:rPr>
                <w:rFonts w:ascii="Times New Roman" w:hAnsi="Times New Roman" w:cs="Times New Roman"/>
                <w:b/>
                <w:sz w:val="24"/>
                <w:szCs w:val="24"/>
              </w:rPr>
              <w:t>0,805</w:t>
            </w:r>
          </w:p>
        </w:tc>
        <w:tc>
          <w:tcPr>
            <w:tcW w:w="856"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77</w:t>
            </w:r>
          </w:p>
        </w:tc>
      </w:tr>
      <w:tr w:rsidR="00C11FC2" w:rsidRPr="005B0BCB" w:rsidTr="00F02386">
        <w:tc>
          <w:tcPr>
            <w:tcW w:w="1277"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2014</w:t>
            </w:r>
          </w:p>
        </w:tc>
        <w:tc>
          <w:tcPr>
            <w:tcW w:w="1134"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10 522</w:t>
            </w:r>
          </w:p>
        </w:tc>
        <w:tc>
          <w:tcPr>
            <w:tcW w:w="881"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0,777</w:t>
            </w:r>
          </w:p>
        </w:tc>
        <w:tc>
          <w:tcPr>
            <w:tcW w:w="962"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67,76</w:t>
            </w:r>
          </w:p>
        </w:tc>
        <w:tc>
          <w:tcPr>
            <w:tcW w:w="848"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0,713</w:t>
            </w:r>
          </w:p>
        </w:tc>
        <w:tc>
          <w:tcPr>
            <w:tcW w:w="992"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99,5</w:t>
            </w:r>
          </w:p>
        </w:tc>
        <w:tc>
          <w:tcPr>
            <w:tcW w:w="1110"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0,869</w:t>
            </w:r>
          </w:p>
        </w:tc>
        <w:tc>
          <w:tcPr>
            <w:tcW w:w="1017"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0,953</w:t>
            </w:r>
          </w:p>
        </w:tc>
        <w:tc>
          <w:tcPr>
            <w:tcW w:w="846" w:type="dxa"/>
          </w:tcPr>
          <w:p w:rsidR="00C11FC2" w:rsidRPr="005B0BCB" w:rsidRDefault="00C11FC2" w:rsidP="00F02386">
            <w:pPr>
              <w:pStyle w:val="a3"/>
              <w:spacing w:before="240"/>
              <w:ind w:left="0"/>
              <w:jc w:val="center"/>
              <w:rPr>
                <w:rFonts w:ascii="Times New Roman" w:hAnsi="Times New Roman" w:cs="Times New Roman"/>
                <w:b/>
                <w:sz w:val="24"/>
                <w:szCs w:val="24"/>
              </w:rPr>
            </w:pPr>
            <w:r w:rsidRPr="005B0BCB">
              <w:rPr>
                <w:rFonts w:ascii="Times New Roman" w:hAnsi="Times New Roman" w:cs="Times New Roman"/>
                <w:b/>
                <w:sz w:val="24"/>
                <w:szCs w:val="24"/>
              </w:rPr>
              <w:t>0,814</w:t>
            </w:r>
          </w:p>
        </w:tc>
        <w:tc>
          <w:tcPr>
            <w:tcW w:w="856"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75</w:t>
            </w:r>
          </w:p>
        </w:tc>
      </w:tr>
      <w:tr w:rsidR="00C11FC2" w:rsidRPr="005B0BCB" w:rsidTr="00F02386">
        <w:tc>
          <w:tcPr>
            <w:tcW w:w="1277"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2015</w:t>
            </w:r>
          </w:p>
        </w:tc>
        <w:tc>
          <w:tcPr>
            <w:tcW w:w="1134"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9384</w:t>
            </w:r>
          </w:p>
        </w:tc>
        <w:tc>
          <w:tcPr>
            <w:tcW w:w="881"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0,758</w:t>
            </w:r>
          </w:p>
        </w:tc>
        <w:tc>
          <w:tcPr>
            <w:tcW w:w="962"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68,4</w:t>
            </w:r>
          </w:p>
        </w:tc>
        <w:tc>
          <w:tcPr>
            <w:tcW w:w="848"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0,724</w:t>
            </w:r>
          </w:p>
        </w:tc>
        <w:tc>
          <w:tcPr>
            <w:tcW w:w="992"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99,5</w:t>
            </w:r>
          </w:p>
        </w:tc>
        <w:tc>
          <w:tcPr>
            <w:tcW w:w="1110"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0,871</w:t>
            </w:r>
          </w:p>
        </w:tc>
        <w:tc>
          <w:tcPr>
            <w:tcW w:w="1017"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0,954</w:t>
            </w:r>
          </w:p>
        </w:tc>
        <w:tc>
          <w:tcPr>
            <w:tcW w:w="846" w:type="dxa"/>
          </w:tcPr>
          <w:p w:rsidR="00C11FC2" w:rsidRPr="005B0BCB" w:rsidRDefault="00C11FC2" w:rsidP="00F02386">
            <w:pPr>
              <w:pStyle w:val="a3"/>
              <w:spacing w:before="240"/>
              <w:ind w:left="0"/>
              <w:jc w:val="center"/>
              <w:rPr>
                <w:rFonts w:ascii="Times New Roman" w:hAnsi="Times New Roman" w:cs="Times New Roman"/>
                <w:b/>
                <w:sz w:val="24"/>
                <w:szCs w:val="24"/>
              </w:rPr>
            </w:pPr>
            <w:r w:rsidRPr="005B0BCB">
              <w:rPr>
                <w:rFonts w:ascii="Times New Roman" w:hAnsi="Times New Roman" w:cs="Times New Roman"/>
                <w:b/>
                <w:sz w:val="24"/>
                <w:szCs w:val="24"/>
              </w:rPr>
              <w:t>0,812</w:t>
            </w:r>
          </w:p>
        </w:tc>
        <w:tc>
          <w:tcPr>
            <w:tcW w:w="856" w:type="dxa"/>
          </w:tcPr>
          <w:p w:rsidR="00C11FC2" w:rsidRPr="005B0BCB" w:rsidRDefault="00C11FC2" w:rsidP="00F02386">
            <w:pPr>
              <w:pStyle w:val="a3"/>
              <w:spacing w:before="240"/>
              <w:ind w:left="0"/>
              <w:jc w:val="center"/>
              <w:rPr>
                <w:rFonts w:ascii="Times New Roman" w:hAnsi="Times New Roman" w:cs="Times New Roman"/>
                <w:sz w:val="24"/>
                <w:szCs w:val="24"/>
              </w:rPr>
            </w:pPr>
            <w:r w:rsidRPr="005B0BCB">
              <w:rPr>
                <w:rFonts w:ascii="Times New Roman" w:hAnsi="Times New Roman" w:cs="Times New Roman"/>
                <w:sz w:val="24"/>
                <w:szCs w:val="24"/>
              </w:rPr>
              <w:t>79</w:t>
            </w:r>
          </w:p>
        </w:tc>
      </w:tr>
    </w:tbl>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Рисунок 1- График изменений индекса человеческого развития Республики Алтай в 2013-2015 годах.</w:t>
      </w:r>
    </w:p>
    <w:p w:rsidR="00C11FC2" w:rsidRPr="005B0BCB" w:rsidRDefault="00C11FC2" w:rsidP="00C11FC2">
      <w:pPr>
        <w:pStyle w:val="a3"/>
        <w:spacing w:before="240"/>
        <w:ind w:left="0"/>
        <w:jc w:val="both"/>
        <w:rPr>
          <w:rFonts w:ascii="Times New Roman" w:hAnsi="Times New Roman" w:cs="Times New Roman"/>
          <w:b/>
          <w:sz w:val="28"/>
          <w:szCs w:val="28"/>
        </w:rPr>
      </w:pPr>
    </w:p>
    <w:p w:rsidR="00C11FC2" w:rsidRPr="005B0BCB" w:rsidRDefault="00C11FC2" w:rsidP="00C11FC2">
      <w:pPr>
        <w:pStyle w:val="a3"/>
        <w:spacing w:before="240"/>
        <w:ind w:left="0" w:firstLine="709"/>
        <w:jc w:val="both"/>
        <w:rPr>
          <w:rFonts w:ascii="Times New Roman" w:hAnsi="Times New Roman" w:cs="Times New Roman"/>
          <w:b/>
          <w:sz w:val="28"/>
          <w:szCs w:val="28"/>
        </w:rPr>
      </w:pPr>
      <w:r w:rsidRPr="005B0BCB">
        <w:rPr>
          <w:rFonts w:ascii="Times New Roman" w:hAnsi="Times New Roman" w:cs="Times New Roman"/>
          <w:b/>
          <w:noProof/>
          <w:sz w:val="28"/>
          <w:szCs w:val="28"/>
          <w:lang w:eastAsia="ru-RU"/>
        </w:rPr>
        <w:drawing>
          <wp:inline distT="0" distB="0" distL="0" distR="0">
            <wp:extent cx="5324475" cy="2809875"/>
            <wp:effectExtent l="19050" t="0" r="9525" b="0"/>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11FC2" w:rsidRPr="005B0BCB" w:rsidRDefault="00C11FC2" w:rsidP="00C11FC2">
      <w:pPr>
        <w:pStyle w:val="a3"/>
        <w:spacing w:before="240"/>
        <w:ind w:left="0" w:firstLine="709"/>
        <w:jc w:val="both"/>
        <w:rPr>
          <w:rFonts w:ascii="Times New Roman" w:hAnsi="Times New Roman" w:cs="Times New Roman"/>
          <w:b/>
          <w:sz w:val="28"/>
          <w:szCs w:val="28"/>
        </w:rPr>
      </w:pPr>
    </w:p>
    <w:p w:rsidR="00C11FC2" w:rsidRPr="005B0BCB" w:rsidRDefault="00C11FC2" w:rsidP="00C11FC2">
      <w:pPr>
        <w:pStyle w:val="a3"/>
        <w:spacing w:before="240" w:line="360" w:lineRule="auto"/>
        <w:ind w:left="0" w:firstLine="709"/>
        <w:jc w:val="both"/>
        <w:rPr>
          <w:rFonts w:ascii="Times New Roman" w:hAnsi="Times New Roman" w:cs="Times New Roman"/>
          <w:sz w:val="28"/>
          <w:szCs w:val="28"/>
        </w:rPr>
      </w:pPr>
      <w:proofErr w:type="gramStart"/>
      <w:r w:rsidRPr="005B0BCB">
        <w:rPr>
          <w:rFonts w:ascii="Times New Roman" w:hAnsi="Times New Roman" w:cs="Times New Roman"/>
          <w:sz w:val="28"/>
          <w:szCs w:val="28"/>
        </w:rPr>
        <w:t>Таким образом, отметим увеличение значения ИРЧ Республики Алтай на 0,007, что обусловлено повышением размера душевого ВВП на 8,5% в 2014 году (на 2015 год ВВП на душу населения упал на 10,8% по сравнению с прошлым годом, и стал даже на 3,2% ниже чем в 2013 году), увеличением ожидаемой продолжительности жизни на 1,6%, увеличением доли учащихся в возрасте 7-24 лет на</w:t>
      </w:r>
      <w:proofErr w:type="gramEnd"/>
      <w:r w:rsidRPr="005B0BCB">
        <w:rPr>
          <w:rFonts w:ascii="Times New Roman" w:hAnsi="Times New Roman" w:cs="Times New Roman"/>
          <w:sz w:val="28"/>
          <w:szCs w:val="28"/>
        </w:rPr>
        <w:t xml:space="preserve"> 2,2%. Заметим также, что размер душевого ВВП резко сократился на 10,8% в 2015 году, и </w:t>
      </w:r>
      <w:proofErr w:type="gramStart"/>
      <w:r w:rsidRPr="005B0BCB">
        <w:rPr>
          <w:rFonts w:ascii="Times New Roman" w:hAnsi="Times New Roman" w:cs="Times New Roman"/>
          <w:sz w:val="28"/>
          <w:szCs w:val="28"/>
        </w:rPr>
        <w:t xml:space="preserve">стал даже ниже чем за 2013 год на 3,2% </w:t>
      </w:r>
      <w:r w:rsidRPr="005B0BCB">
        <w:rPr>
          <w:rFonts w:ascii="Times New Roman" w:hAnsi="Times New Roman" w:cs="Times New Roman"/>
          <w:sz w:val="28"/>
          <w:szCs w:val="28"/>
        </w:rPr>
        <w:lastRenderedPageBreak/>
        <w:t>что привело</w:t>
      </w:r>
      <w:proofErr w:type="gramEnd"/>
      <w:r w:rsidRPr="005B0BCB">
        <w:rPr>
          <w:rFonts w:ascii="Times New Roman" w:hAnsi="Times New Roman" w:cs="Times New Roman"/>
          <w:sz w:val="28"/>
          <w:szCs w:val="28"/>
        </w:rPr>
        <w:t xml:space="preserve"> к спаду ИЧР на 0,002  в 2015 году.</w:t>
      </w:r>
      <w:r w:rsidRPr="005B0BCB">
        <w:rPr>
          <w:rFonts w:ascii="Times New Roman" w:hAnsi="Times New Roman" w:cs="Times New Roman"/>
          <w:bCs/>
          <w:sz w:val="28"/>
          <w:szCs w:val="28"/>
          <w:shd w:val="clear" w:color="auto" w:fill="FFFFFF"/>
        </w:rPr>
        <w:t xml:space="preserve"> Напомним, что</w:t>
      </w:r>
      <w:r w:rsidRPr="005B0BCB">
        <w:rPr>
          <w:rFonts w:ascii="Arial" w:hAnsi="Arial" w:cs="Arial"/>
          <w:sz w:val="21"/>
          <w:szCs w:val="21"/>
          <w:shd w:val="clear" w:color="auto" w:fill="FFFFFF"/>
        </w:rPr>
        <w:t> </w:t>
      </w:r>
      <w:hyperlink r:id="rId8" w:tooltip="ВВП" w:history="1">
        <w:r w:rsidRPr="005B0BCB">
          <w:rPr>
            <w:rStyle w:val="a4"/>
            <w:rFonts w:ascii="Times New Roman" w:hAnsi="Times New Roman" w:cs="Times New Roman"/>
            <w:color w:val="auto"/>
            <w:sz w:val="28"/>
            <w:szCs w:val="28"/>
            <w:u w:val="none"/>
            <w:shd w:val="clear" w:color="auto" w:fill="FFFFFF"/>
          </w:rPr>
          <w:t>ВВП</w:t>
        </w:r>
      </w:hyperlink>
      <w:r w:rsidRPr="005B0BCB">
        <w:rPr>
          <w:rFonts w:ascii="Times New Roman" w:hAnsi="Times New Roman" w:cs="Times New Roman"/>
          <w:sz w:val="28"/>
          <w:szCs w:val="28"/>
          <w:shd w:val="clear" w:color="auto" w:fill="FFFFFF"/>
        </w:rPr>
        <w:t> (валовой внутренний продукт) на душу населения по </w:t>
      </w:r>
      <w:hyperlink r:id="rId9" w:tooltip="Паритет покупательной способности" w:history="1">
        <w:r w:rsidRPr="005B0BCB">
          <w:rPr>
            <w:rStyle w:val="a4"/>
            <w:rFonts w:ascii="Times New Roman" w:hAnsi="Times New Roman" w:cs="Times New Roman"/>
            <w:color w:val="auto"/>
            <w:sz w:val="28"/>
            <w:szCs w:val="28"/>
            <w:u w:val="none"/>
            <w:shd w:val="clear" w:color="auto" w:fill="FFFFFF"/>
          </w:rPr>
          <w:t>паритету покупательной способности (ППС)</w:t>
        </w:r>
      </w:hyperlink>
      <w:r w:rsidRPr="005B0BCB">
        <w:rPr>
          <w:rFonts w:ascii="Times New Roman" w:hAnsi="Times New Roman" w:cs="Times New Roman"/>
          <w:sz w:val="28"/>
          <w:szCs w:val="28"/>
          <w:shd w:val="clear" w:color="auto" w:fill="FFFFFF"/>
        </w:rPr>
        <w:t> является характеристикой, определяющей уровень экономического развития, а также роста экономики региона. Все показатели для сопоставимости выражаются в единой валюте — </w:t>
      </w:r>
      <w:proofErr w:type="spellStart"/>
      <w:r w:rsidR="00F87AFF">
        <w:fldChar w:fldCharType="begin"/>
      </w:r>
      <w:r w:rsidR="00F87AFF">
        <w:instrText>HYPERLINK "https://ru.wikipedia.org/wiki/%D0%94%D0%BE%D0%BB%D0%BB%D0%B0%D1%80_%D0%A1%D0%A8%D0%90" \o "Доллар США"</w:instrText>
      </w:r>
      <w:r w:rsidR="00F87AFF">
        <w:fldChar w:fldCharType="separate"/>
      </w:r>
      <w:r w:rsidRPr="005B0BCB">
        <w:rPr>
          <w:rStyle w:val="a4"/>
          <w:rFonts w:ascii="Times New Roman" w:hAnsi="Times New Roman" w:cs="Times New Roman"/>
          <w:color w:val="auto"/>
          <w:sz w:val="28"/>
          <w:szCs w:val="28"/>
          <w:u w:val="none"/>
          <w:shd w:val="clear" w:color="auto" w:fill="FFFFFF"/>
        </w:rPr>
        <w:t>долларе</w:t>
      </w:r>
      <w:r w:rsidR="00F87AFF">
        <w:fldChar w:fldCharType="end"/>
      </w:r>
      <w:r w:rsidRPr="005B0BCB">
        <w:rPr>
          <w:rFonts w:ascii="Times New Roman" w:hAnsi="Times New Roman" w:cs="Times New Roman"/>
          <w:sz w:val="28"/>
          <w:szCs w:val="28"/>
          <w:shd w:val="clear" w:color="auto" w:fill="FFFFFF"/>
        </w:rPr>
        <w:t>США</w:t>
      </w:r>
      <w:proofErr w:type="spellEnd"/>
      <w:r w:rsidRPr="005B0BCB">
        <w:rPr>
          <w:rFonts w:ascii="Times New Roman" w:hAnsi="Times New Roman" w:cs="Times New Roman"/>
          <w:sz w:val="28"/>
          <w:szCs w:val="28"/>
          <w:shd w:val="clear" w:color="auto" w:fill="FFFFFF"/>
        </w:rPr>
        <w:t xml:space="preserve">. Пересчёты из национальных валют, как это принято при международных экономических сопоставлениях, выполняются не по рыночным обменным курсам валют, а по паритету покупательной способности. </w:t>
      </w:r>
      <w:r w:rsidRPr="005B0BCB">
        <w:rPr>
          <w:rFonts w:ascii="Times New Roman" w:hAnsi="Times New Roman" w:cs="Times New Roman"/>
          <w:bCs/>
          <w:sz w:val="28"/>
          <w:szCs w:val="28"/>
          <w:shd w:val="clear" w:color="auto" w:fill="FFFFFF"/>
        </w:rPr>
        <w:t>Паритет </w:t>
      </w:r>
      <w:hyperlink r:id="rId10" w:tooltip="Покупательная способность" w:history="1">
        <w:r w:rsidRPr="005B0BCB">
          <w:rPr>
            <w:rStyle w:val="a4"/>
            <w:rFonts w:ascii="Times New Roman" w:hAnsi="Times New Roman" w:cs="Times New Roman"/>
            <w:bCs/>
            <w:color w:val="auto"/>
            <w:sz w:val="28"/>
            <w:szCs w:val="28"/>
            <w:u w:val="none"/>
            <w:shd w:val="clear" w:color="auto" w:fill="FFFFFF"/>
          </w:rPr>
          <w:t>покупательной способности</w:t>
        </w:r>
      </w:hyperlink>
      <w:r w:rsidRPr="005B0BCB">
        <w:rPr>
          <w:rFonts w:ascii="Times New Roman" w:hAnsi="Times New Roman" w:cs="Times New Roman"/>
          <w:sz w:val="28"/>
          <w:szCs w:val="28"/>
          <w:shd w:val="clear" w:color="auto" w:fill="FFFFFF"/>
        </w:rPr>
        <w:t xml:space="preserve">  — соотношение двух или нескольких денежных единиц, валют разных стран, устанавливаемое по их покупательной способности применительно к определённому набору товаров и услуг. </w:t>
      </w:r>
      <w:r w:rsidRPr="005B0BCB">
        <w:rPr>
          <w:rStyle w:val="a8"/>
          <w:rFonts w:ascii="Times New Roman" w:hAnsi="Times New Roman" w:cs="Times New Roman"/>
          <w:sz w:val="28"/>
          <w:szCs w:val="28"/>
          <w:shd w:val="clear" w:color="auto" w:fill="FFFFFF"/>
        </w:rPr>
        <w:footnoteReference w:id="3"/>
      </w:r>
      <w:r w:rsidRPr="005B0BCB">
        <w:rPr>
          <w:rFonts w:ascii="Times New Roman" w:hAnsi="Times New Roman" w:cs="Times New Roman"/>
          <w:sz w:val="28"/>
          <w:szCs w:val="28"/>
          <w:shd w:val="clear" w:color="auto" w:fill="FFFFFF"/>
        </w:rPr>
        <w:t xml:space="preserve"> Отсюда следует, что экономика Республики Алтай потерпел спад в 2014 году, это может быть связано с </w:t>
      </w:r>
      <w:r w:rsidRPr="005B0BCB">
        <w:rPr>
          <w:rFonts w:ascii="Times New Roman" w:hAnsi="Times New Roman" w:cs="Times New Roman"/>
          <w:sz w:val="28"/>
          <w:szCs w:val="28"/>
        </w:rPr>
        <w:t>частичным переходом к натуральному хозяйству в условиях экономического кризиса, несмотря на то, что продолжительность жизни и доля учащихся в республике достаточно высоки.</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 xml:space="preserve">Поэтому, несмотря на повышение уровня ИЧП на 0,007, Республика Алтай также находится среди десятка отстающих регионов России и по </w:t>
      </w:r>
      <w:proofErr w:type="gramStart"/>
      <w:r w:rsidRPr="005B0BCB">
        <w:rPr>
          <w:rFonts w:ascii="Times New Roman" w:hAnsi="Times New Roman" w:cs="Times New Roman"/>
          <w:sz w:val="28"/>
          <w:szCs w:val="28"/>
        </w:rPr>
        <w:t>средневзвешенному</w:t>
      </w:r>
      <w:proofErr w:type="gramEnd"/>
      <w:r w:rsidRPr="005B0BCB">
        <w:rPr>
          <w:rFonts w:ascii="Times New Roman" w:hAnsi="Times New Roman" w:cs="Times New Roman"/>
          <w:sz w:val="28"/>
          <w:szCs w:val="28"/>
        </w:rPr>
        <w:t xml:space="preserve"> ИЧР по типам регионов относится к менее развитым аграрным регионам страны. </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 xml:space="preserve">Далее рассмотрим основные направления </w:t>
      </w:r>
      <w:proofErr w:type="gramStart"/>
      <w:r w:rsidRPr="005B0BCB">
        <w:rPr>
          <w:rFonts w:ascii="Times New Roman" w:hAnsi="Times New Roman" w:cs="Times New Roman"/>
          <w:sz w:val="28"/>
          <w:szCs w:val="28"/>
        </w:rPr>
        <w:t>совершенствования оценки индекса развития человеческого капитала</w:t>
      </w:r>
      <w:proofErr w:type="gramEnd"/>
      <w:r w:rsidRPr="005B0BCB">
        <w:rPr>
          <w:rFonts w:ascii="Times New Roman" w:hAnsi="Times New Roman" w:cs="Times New Roman"/>
          <w:sz w:val="28"/>
          <w:szCs w:val="28"/>
        </w:rPr>
        <w:t xml:space="preserve">. Методика расчета до 2010 года, как уже было отмечено, </w:t>
      </w:r>
      <w:r w:rsidR="00F2255D">
        <w:rPr>
          <w:rFonts w:ascii="Times New Roman" w:hAnsi="Times New Roman" w:cs="Times New Roman"/>
          <w:sz w:val="28"/>
          <w:szCs w:val="28"/>
        </w:rPr>
        <w:t xml:space="preserve">предполагает, что </w:t>
      </w:r>
      <w:r w:rsidRPr="005B0BCB">
        <w:rPr>
          <w:rFonts w:ascii="Times New Roman" w:hAnsi="Times New Roman" w:cs="Times New Roman"/>
          <w:sz w:val="28"/>
          <w:szCs w:val="28"/>
        </w:rPr>
        <w:t>индекс состоит из трех компонентов, рассчитываемых в форме индексов; каждый индекс измеряется в долях от 0 до 1. Основной смысл каждого индекса состоит в измерении текущей ситуации в стране в сравнении с максимальными (желаемыми) и минимальными значениями.</w:t>
      </w:r>
      <w:r w:rsidRPr="005B0BCB">
        <w:rPr>
          <w:rStyle w:val="a8"/>
          <w:rFonts w:ascii="Times New Roman" w:hAnsi="Times New Roman" w:cs="Times New Roman"/>
          <w:sz w:val="28"/>
          <w:szCs w:val="28"/>
        </w:rPr>
        <w:footnoteReference w:id="4"/>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 xml:space="preserve">Индекс долголетия рассчитывается по формуле: </w:t>
      </w:r>
    </w:p>
    <w:p w:rsidR="00C11FC2" w:rsidRPr="005B0BCB" w:rsidRDefault="00F87AFF" w:rsidP="00C11FC2">
      <w:pPr>
        <w:pStyle w:val="a3"/>
        <w:spacing w:before="240" w:line="360" w:lineRule="auto"/>
        <w:ind w:left="0" w:firstLine="567"/>
        <w:jc w:val="center"/>
        <w:rPr>
          <w:rFonts w:ascii="Times New Roman" w:hAnsi="Times New Roman" w:cs="Times New Roman"/>
          <w:sz w:val="28"/>
          <w:szCs w:val="28"/>
        </w:rPr>
      </w:pPr>
      <m:oMath>
        <m:f>
          <m:fPr>
            <m:ctrlPr>
              <w:rPr>
                <w:rFonts w:ascii="Cambria Math" w:hAnsi="Times New Roman" w:cs="Times New Roman"/>
                <w:i/>
                <w:sz w:val="28"/>
                <w:szCs w:val="28"/>
              </w:rPr>
            </m:ctrlPr>
          </m:fPr>
          <m:num>
            <m:r>
              <w:rPr>
                <w:rFonts w:ascii="Cambria Math" w:hAnsi="Times New Roman" w:cs="Times New Roman"/>
                <w:sz w:val="28"/>
                <w:szCs w:val="28"/>
              </w:rPr>
              <m:t>Х</m:t>
            </m:r>
            <m:r>
              <w:rPr>
                <w:rFonts w:ascii="Times New Roman" w:hAnsi="Times New Roman" w:cs="Times New Roman"/>
                <w:sz w:val="28"/>
                <w:szCs w:val="28"/>
              </w:rPr>
              <m:t>-</m:t>
            </m:r>
            <m:r>
              <w:rPr>
                <w:rFonts w:ascii="Cambria Math" w:hAnsi="Times New Roman" w:cs="Times New Roman"/>
                <w:sz w:val="28"/>
                <w:szCs w:val="28"/>
              </w:rPr>
              <m:t>25</m:t>
            </m:r>
          </m:num>
          <m:den>
            <m:r>
              <w:rPr>
                <w:rFonts w:ascii="Cambria Math" w:hAnsi="Times New Roman" w:cs="Times New Roman"/>
                <w:sz w:val="28"/>
                <w:szCs w:val="28"/>
              </w:rPr>
              <m:t>85</m:t>
            </m:r>
            <m:r>
              <w:rPr>
                <w:rFonts w:ascii="Cambria Math" w:hAnsi="Times New Roman" w:cs="Times New Roman"/>
                <w:sz w:val="28"/>
                <w:szCs w:val="28"/>
              </w:rPr>
              <m:t>-</m:t>
            </m:r>
            <m:r>
              <w:rPr>
                <w:rFonts w:ascii="Cambria Math" w:hAnsi="Times New Roman" w:cs="Times New Roman"/>
                <w:sz w:val="28"/>
                <w:szCs w:val="28"/>
              </w:rPr>
              <m:t>25</m:t>
            </m:r>
          </m:den>
        </m:f>
      </m:oMath>
      <w:r w:rsidR="00C11FC2" w:rsidRPr="005B0BCB">
        <w:rPr>
          <w:rFonts w:ascii="Times New Roman" w:hAnsi="Times New Roman" w:cs="Times New Roman"/>
          <w:sz w:val="28"/>
          <w:szCs w:val="28"/>
        </w:rPr>
        <w:t>(1)</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где Х — ожидаемая продолжительность жизни в стране при рождении.</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 xml:space="preserve">Индекс образования состоит из двух частей, взятых с разными весами. Первая часть — доля грамотного населения — учитывается с коэффициентом 2/3. Вторая часть — доля обучающихся в общем числе молодых людей соответствующих возрастов для данной страны (например, от 7 до 24 лет) — учитывается с коэффициентом 1/3. Индекс уровня жизни рассчитывается по формуле: </w:t>
      </w:r>
    </w:p>
    <w:p w:rsidR="00C11FC2" w:rsidRPr="005B0BCB" w:rsidRDefault="00F87AFF" w:rsidP="00C11FC2">
      <w:pPr>
        <w:pStyle w:val="a3"/>
        <w:spacing w:before="240" w:line="360" w:lineRule="auto"/>
        <w:ind w:left="0" w:firstLine="567"/>
        <w:jc w:val="center"/>
        <w:rPr>
          <w:rFonts w:ascii="Times New Roman" w:hAnsi="Times New Roman" w:cs="Times New Roman"/>
          <w:sz w:val="28"/>
          <w:szCs w:val="28"/>
        </w:rPr>
      </w:pPr>
      <m:oMath>
        <m:f>
          <m:fPr>
            <m:ctrlPr>
              <w:rPr>
                <w:rFonts w:ascii="Cambria Math" w:hAnsi="Times New Roman" w:cs="Times New Roman"/>
                <w:i/>
                <w:sz w:val="28"/>
                <w:szCs w:val="28"/>
              </w:rPr>
            </m:ctrlPr>
          </m:fPr>
          <m:num>
            <m:func>
              <m:funcPr>
                <m:ctrlPr>
                  <w:rPr>
                    <w:rFonts w:ascii="Cambria Math" w:hAnsi="Times New Roman" w:cs="Times New Roman"/>
                    <w:i/>
                    <w:sz w:val="28"/>
                    <w:szCs w:val="28"/>
                    <w:lang w:val="en-US"/>
                  </w:rPr>
                </m:ctrlPr>
              </m:funcPr>
              <m:fName>
                <m:r>
                  <m:rPr>
                    <m:sty m:val="p"/>
                  </m:rPr>
                  <w:rPr>
                    <w:rFonts w:ascii="Cambria Math" w:hAnsi="Times New Roman" w:cs="Times New Roman"/>
                    <w:sz w:val="28"/>
                    <w:szCs w:val="28"/>
                    <w:lang w:val="en-US"/>
                  </w:rPr>
                  <m:t>lg</m:t>
                </m:r>
              </m:fName>
              <m:e>
                <m:r>
                  <w:rPr>
                    <w:rFonts w:ascii="Cambria Math" w:hAnsi="Cambria Math" w:cs="Times New Roman"/>
                    <w:sz w:val="28"/>
                    <w:szCs w:val="28"/>
                    <w:lang w:val="en-US"/>
                  </w:rPr>
                  <m:t>Y</m:t>
                </m:r>
                <m:r>
                  <w:rPr>
                    <w:rFonts w:ascii="Times New Roman" w:hAnsi="Times New Roman" w:cs="Times New Roman"/>
                    <w:sz w:val="28"/>
                    <w:szCs w:val="28"/>
                  </w:rPr>
                  <m:t>-</m:t>
                </m:r>
                <m:r>
                  <w:rPr>
                    <w:rFonts w:ascii="Cambria Math" w:hAnsi="Cambria Math" w:cs="Times New Roman"/>
                    <w:sz w:val="28"/>
                    <w:szCs w:val="28"/>
                    <w:lang w:val="en-US"/>
                  </w:rPr>
                  <m:t>lg</m:t>
                </m:r>
                <m:r>
                  <w:rPr>
                    <w:rFonts w:ascii="Cambria Math" w:hAnsi="Times New Roman" w:cs="Times New Roman"/>
                    <w:sz w:val="28"/>
                    <w:szCs w:val="28"/>
                  </w:rPr>
                  <m:t>100</m:t>
                </m:r>
              </m:e>
            </m:func>
          </m:num>
          <m:den>
            <m:r>
              <w:rPr>
                <w:rFonts w:ascii="Cambria Math" w:hAnsi="Cambria Math" w:cs="Times New Roman"/>
                <w:sz w:val="28"/>
                <w:szCs w:val="28"/>
              </w:rPr>
              <m:t>lg</m:t>
            </m:r>
            <m:r>
              <w:rPr>
                <w:rFonts w:ascii="Cambria Math" w:hAnsi="Times New Roman" w:cs="Times New Roman"/>
                <w:sz w:val="28"/>
                <w:szCs w:val="28"/>
              </w:rPr>
              <m:t>40000</m:t>
            </m:r>
            <m:r>
              <w:rPr>
                <w:rFonts w:ascii="Cambria Math" w:hAnsi="Times New Roman" w:cs="Times New Roman"/>
                <w:sz w:val="28"/>
                <w:szCs w:val="28"/>
              </w:rPr>
              <m:t>-</m:t>
            </m:r>
            <m:r>
              <w:rPr>
                <w:rFonts w:ascii="Cambria Math" w:hAnsi="Cambria Math" w:cs="Times New Roman"/>
                <w:sz w:val="28"/>
                <w:szCs w:val="28"/>
              </w:rPr>
              <m:t>lg</m:t>
            </m:r>
            <m:r>
              <w:rPr>
                <w:rFonts w:ascii="Cambria Math" w:hAnsi="Times New Roman" w:cs="Times New Roman"/>
                <w:sz w:val="28"/>
                <w:szCs w:val="28"/>
              </w:rPr>
              <m:t>100</m:t>
            </m:r>
          </m:den>
        </m:f>
      </m:oMath>
      <w:r w:rsidR="00C11FC2" w:rsidRPr="005B0BCB">
        <w:rPr>
          <w:rFonts w:ascii="Times New Roman" w:hAnsi="Times New Roman" w:cs="Times New Roman"/>
          <w:sz w:val="28"/>
          <w:szCs w:val="28"/>
        </w:rPr>
        <w:t>(2)</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где Y — ВВП на душу населения по паритету покупательской способности.</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 xml:space="preserve">Заключительный этап включает в себя вычисление среднего арифметического данных трех индексов. Это и есть индекс человеческого развития. </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 xml:space="preserve">С 2011 года индекс был усовершенствован путем добавления дополнительных компонентов и усложнения формулы итогового расчета. Новый индекс по-прежнему состоит из трех частей, но рассчитываются они по-другому. </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 xml:space="preserve">Расчет первой части индекса не изменился. Изменения затронули остальные компоненты. </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1) индекс долголетия — по-прежнему рассчитывается по формуле:</w:t>
      </w:r>
    </w:p>
    <w:p w:rsidR="00C11FC2" w:rsidRPr="005B0BCB" w:rsidRDefault="00F87AFF" w:rsidP="00C11FC2">
      <w:pPr>
        <w:pStyle w:val="a3"/>
        <w:spacing w:before="240" w:line="360" w:lineRule="auto"/>
        <w:ind w:left="0" w:firstLine="567"/>
        <w:jc w:val="center"/>
        <w:rPr>
          <w:rFonts w:ascii="Times New Roman" w:hAnsi="Times New Roman" w:cs="Times New Roman"/>
          <w:sz w:val="28"/>
          <w:szCs w:val="28"/>
        </w:rPr>
      </w:pPr>
      <m:oMath>
        <m:f>
          <m:fPr>
            <m:ctrlPr>
              <w:rPr>
                <w:rFonts w:ascii="Cambria Math" w:hAnsi="Times New Roman" w:cs="Times New Roman"/>
                <w:i/>
                <w:sz w:val="28"/>
                <w:szCs w:val="28"/>
              </w:rPr>
            </m:ctrlPr>
          </m:fPr>
          <m:num>
            <m:r>
              <w:rPr>
                <w:rFonts w:ascii="Cambria Math" w:hAnsi="Times New Roman" w:cs="Times New Roman"/>
                <w:sz w:val="28"/>
                <w:szCs w:val="28"/>
              </w:rPr>
              <m:t>Х</m:t>
            </m:r>
            <m:r>
              <w:rPr>
                <w:rFonts w:ascii="Cambria Math" w:hAnsi="Cambria Math" w:cs="Times New Roman"/>
                <w:sz w:val="28"/>
                <w:szCs w:val="28"/>
              </w:rPr>
              <m:t>-</m:t>
            </m:r>
            <m:r>
              <w:rPr>
                <w:rFonts w:ascii="Cambria Math" w:hAnsi="Times New Roman" w:cs="Times New Roman"/>
                <w:sz w:val="28"/>
                <w:szCs w:val="28"/>
              </w:rPr>
              <m:t>25</m:t>
            </m:r>
          </m:num>
          <m:den>
            <m:r>
              <w:rPr>
                <w:rFonts w:ascii="Cambria Math" w:hAnsi="Times New Roman" w:cs="Times New Roman"/>
                <w:sz w:val="28"/>
                <w:szCs w:val="28"/>
              </w:rPr>
              <m:t>85</m:t>
            </m:r>
            <m:r>
              <w:rPr>
                <w:rFonts w:ascii="Cambria Math" w:hAnsi="Times New Roman" w:cs="Times New Roman"/>
                <w:sz w:val="28"/>
                <w:szCs w:val="28"/>
              </w:rPr>
              <m:t>-</m:t>
            </m:r>
            <m:r>
              <w:rPr>
                <w:rFonts w:ascii="Cambria Math" w:hAnsi="Times New Roman" w:cs="Times New Roman"/>
                <w:sz w:val="28"/>
                <w:szCs w:val="28"/>
              </w:rPr>
              <m:t>25</m:t>
            </m:r>
          </m:den>
        </m:f>
      </m:oMath>
      <w:r w:rsidR="00C11FC2" w:rsidRPr="005B0BCB">
        <w:rPr>
          <w:rFonts w:ascii="Times New Roman" w:hAnsi="Times New Roman" w:cs="Times New Roman"/>
          <w:sz w:val="28"/>
          <w:szCs w:val="28"/>
        </w:rPr>
        <w:t>(3)</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где Х — ожидаемая продолжительность жизни в стране при рождении.</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 xml:space="preserve">2) индекс образования — теперь состоит из среднего арифметического двух показателей. Первый из них рассчитывается по формуле: </w:t>
      </w:r>
    </w:p>
    <w:p w:rsidR="00C11FC2" w:rsidRPr="005B0BCB" w:rsidRDefault="00F87AFF" w:rsidP="00C11FC2">
      <w:pPr>
        <w:pStyle w:val="a3"/>
        <w:spacing w:before="240" w:line="360" w:lineRule="auto"/>
        <w:ind w:left="0" w:firstLine="567"/>
        <w:jc w:val="center"/>
        <w:rPr>
          <w:rFonts w:ascii="Times New Roman" w:hAnsi="Times New Roman" w:cs="Times New Roman"/>
          <w:sz w:val="28"/>
          <w:szCs w:val="28"/>
        </w:rPr>
      </w:pPr>
      <m:oMath>
        <m:f>
          <m:fPr>
            <m:ctrlPr>
              <w:rPr>
                <w:rFonts w:ascii="Cambria Math" w:hAnsi="Times New Roman" w:cs="Times New Roman"/>
                <w:i/>
                <w:sz w:val="28"/>
                <w:szCs w:val="28"/>
              </w:rPr>
            </m:ctrlPr>
          </m:fPr>
          <m:num>
            <m:r>
              <w:rPr>
                <w:rFonts w:ascii="Cambria Math" w:hAnsi="Cambria Math" w:cs="Times New Roman"/>
                <w:sz w:val="28"/>
                <w:szCs w:val="28"/>
              </w:rPr>
              <m:t>S</m:t>
            </m:r>
          </m:num>
          <m:den>
            <m:r>
              <w:rPr>
                <w:rFonts w:ascii="Cambria Math" w:hAnsi="Times New Roman" w:cs="Times New Roman"/>
                <w:sz w:val="28"/>
                <w:szCs w:val="28"/>
              </w:rPr>
              <m:t>15</m:t>
            </m:r>
          </m:den>
        </m:f>
      </m:oMath>
      <w:r w:rsidR="00C11FC2" w:rsidRPr="005B0BCB">
        <w:rPr>
          <w:rFonts w:ascii="Times New Roman" w:hAnsi="Times New Roman" w:cs="Times New Roman"/>
          <w:sz w:val="28"/>
          <w:szCs w:val="28"/>
        </w:rPr>
        <w:t>(4)</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 xml:space="preserve">где S — продолжительность обучения; </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 xml:space="preserve">а второй — по формуле: </w:t>
      </w:r>
    </w:p>
    <w:p w:rsidR="00C11FC2" w:rsidRPr="005B0BCB" w:rsidRDefault="00F87AFF" w:rsidP="00C11FC2">
      <w:pPr>
        <w:pStyle w:val="a3"/>
        <w:spacing w:before="240" w:line="360" w:lineRule="auto"/>
        <w:ind w:left="0" w:firstLine="567"/>
        <w:jc w:val="center"/>
        <w:rPr>
          <w:rFonts w:ascii="Times New Roman" w:hAnsi="Times New Roman" w:cs="Times New Roman"/>
          <w:sz w:val="28"/>
          <w:szCs w:val="28"/>
        </w:rPr>
      </w:pPr>
      <m:oMath>
        <m:f>
          <m:fPr>
            <m:ctrlPr>
              <w:rPr>
                <w:rFonts w:ascii="Cambria Math" w:hAnsi="Cambria Math" w:cs="Times New Roman"/>
                <w:i/>
                <w:sz w:val="28"/>
                <w:szCs w:val="28"/>
              </w:rPr>
            </m:ctrlPr>
          </m:fPr>
          <m:num>
            <m:r>
              <w:rPr>
                <w:rFonts w:ascii="Cambria Math" w:hAnsi="Cambria Math" w:cs="Times New Roman"/>
                <w:sz w:val="28"/>
                <w:szCs w:val="28"/>
              </w:rPr>
              <m:t>Е</m:t>
            </m:r>
          </m:num>
          <m:den>
            <m:r>
              <w:rPr>
                <w:rFonts w:ascii="Cambria Math" w:hAnsi="Cambria Math" w:cs="Times New Roman"/>
                <w:sz w:val="28"/>
                <w:szCs w:val="28"/>
              </w:rPr>
              <m:t>18</m:t>
            </m:r>
          </m:den>
        </m:f>
      </m:oMath>
      <w:r w:rsidR="00C11FC2" w:rsidRPr="005B0BCB">
        <w:rPr>
          <w:rFonts w:ascii="Times New Roman" w:hAnsi="Times New Roman" w:cs="Times New Roman"/>
          <w:sz w:val="28"/>
          <w:szCs w:val="28"/>
        </w:rPr>
        <w:t>(5)</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 xml:space="preserve">где E — ожидаемая продолжительность обучения. </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 xml:space="preserve">Индекс уровня жизни, рассчитываемый на основе ВВП на душу населения по ППС, был заменен на индекс дохода. </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 xml:space="preserve">3) индекс дохода — рассчитывается по формуле: </w:t>
      </w:r>
    </w:p>
    <w:p w:rsidR="00C11FC2" w:rsidRPr="005B0BCB" w:rsidRDefault="00F87AFF" w:rsidP="00C11FC2">
      <w:pPr>
        <w:pStyle w:val="a3"/>
        <w:spacing w:before="240" w:line="360" w:lineRule="auto"/>
        <w:ind w:left="0" w:firstLine="567"/>
        <w:jc w:val="center"/>
        <w:rPr>
          <w:rFonts w:ascii="Times New Roman" w:hAnsi="Times New Roman" w:cs="Times New Roman"/>
          <w:sz w:val="28"/>
          <w:szCs w:val="28"/>
        </w:rPr>
      </w:pPr>
      <m:oMath>
        <m:f>
          <m:fPr>
            <m:ctrlPr>
              <w:rPr>
                <w:rFonts w:ascii="Cambria Math" w:hAnsi="Times New Roman" w:cs="Times New Roman"/>
                <w:i/>
                <w:sz w:val="28"/>
                <w:szCs w:val="28"/>
              </w:rPr>
            </m:ctrlPr>
          </m:fPr>
          <m:num>
            <m:r>
              <w:rPr>
                <w:rFonts w:ascii="Cambria Math" w:hAnsi="Cambria Math" w:cs="Times New Roman"/>
                <w:sz w:val="28"/>
                <w:szCs w:val="28"/>
                <w:lang w:val="en-US"/>
              </w:rPr>
              <m:t>lnG</m:t>
            </m:r>
            <m:r>
              <w:rPr>
                <w:rFonts w:ascii="Times New Roman" w:hAnsi="Times New Roman" w:cs="Times New Roman"/>
                <w:sz w:val="28"/>
                <w:szCs w:val="28"/>
              </w:rPr>
              <m:t>-</m:t>
            </m:r>
            <m:r>
              <w:rPr>
                <w:rFonts w:ascii="Cambria Math" w:hAnsi="Cambria Math" w:cs="Times New Roman"/>
                <w:sz w:val="28"/>
                <w:szCs w:val="28"/>
                <w:lang w:val="en-US"/>
              </w:rPr>
              <m:t>ln</m:t>
            </m:r>
            <m:r>
              <w:rPr>
                <w:rFonts w:ascii="Cambria Math" w:hAnsi="Times New Roman" w:cs="Times New Roman"/>
                <w:sz w:val="28"/>
                <w:szCs w:val="28"/>
              </w:rPr>
              <m:t>100</m:t>
            </m:r>
          </m:num>
          <m:den>
            <m:r>
              <w:rPr>
                <w:rFonts w:ascii="Cambria Math" w:hAnsi="Cambria Math" w:cs="Times New Roman"/>
                <w:sz w:val="28"/>
                <w:szCs w:val="28"/>
              </w:rPr>
              <m:t>ln</m:t>
            </m:r>
            <m:r>
              <w:rPr>
                <w:rFonts w:ascii="Cambria Math" w:hAnsi="Times New Roman" w:cs="Times New Roman"/>
                <w:sz w:val="28"/>
                <w:szCs w:val="28"/>
              </w:rPr>
              <m:t>75000</m:t>
            </m:r>
            <m:r>
              <w:rPr>
                <w:rFonts w:ascii="Cambria Math" w:hAnsi="Times New Roman" w:cs="Times New Roman"/>
                <w:sz w:val="28"/>
                <w:szCs w:val="28"/>
              </w:rPr>
              <m:t>-</m:t>
            </m:r>
            <m:r>
              <w:rPr>
                <w:rFonts w:ascii="Cambria Math" w:hAnsi="Cambria Math" w:cs="Times New Roman"/>
                <w:sz w:val="28"/>
                <w:szCs w:val="28"/>
              </w:rPr>
              <m:t>ln</m:t>
            </m:r>
            <m:r>
              <w:rPr>
                <w:rFonts w:ascii="Cambria Math" w:hAnsi="Times New Roman" w:cs="Times New Roman"/>
                <w:sz w:val="28"/>
                <w:szCs w:val="28"/>
              </w:rPr>
              <m:t>100</m:t>
            </m:r>
          </m:den>
        </m:f>
      </m:oMath>
      <w:r w:rsidR="00C11FC2" w:rsidRPr="005B0BCB">
        <w:rPr>
          <w:rFonts w:ascii="Times New Roman" w:hAnsi="Times New Roman" w:cs="Times New Roman"/>
          <w:sz w:val="28"/>
          <w:szCs w:val="28"/>
        </w:rPr>
        <w:t>(6)</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где G — валовой национальный доход на душу населения по ППС. Заключительный этап вычисляется по формуле:</w:t>
      </w:r>
    </w:p>
    <w:p w:rsidR="00C11FC2" w:rsidRPr="005B0BCB" w:rsidRDefault="00F87AFF" w:rsidP="00C11FC2">
      <w:pPr>
        <w:pStyle w:val="a3"/>
        <w:spacing w:before="240" w:line="360" w:lineRule="auto"/>
        <w:ind w:left="0" w:firstLine="567"/>
        <w:jc w:val="center"/>
        <w:rPr>
          <w:rFonts w:ascii="Times New Roman" w:hAnsi="Times New Roman" w:cs="Times New Roman"/>
          <w:sz w:val="28"/>
          <w:szCs w:val="28"/>
        </w:rPr>
      </w:pPr>
      <m:oMath>
        <m:rad>
          <m:radPr>
            <m:ctrlPr>
              <w:rPr>
                <w:rFonts w:ascii="Cambria Math" w:hAnsi="Times New Roman" w:cs="Times New Roman"/>
                <w:i/>
                <w:sz w:val="28"/>
                <w:szCs w:val="28"/>
              </w:rPr>
            </m:ctrlPr>
          </m:radPr>
          <m:deg>
            <m:r>
              <w:rPr>
                <w:rFonts w:ascii="Cambria Math" w:hAnsi="Times New Roman" w:cs="Times New Roman"/>
                <w:sz w:val="28"/>
                <w:szCs w:val="28"/>
              </w:rPr>
              <m:t>3</m:t>
            </m:r>
          </m:deg>
          <m:e>
            <m:r>
              <w:rPr>
                <w:rFonts w:ascii="Cambria Math" w:hAnsi="Cambria Math" w:cs="Times New Roman"/>
                <w:sz w:val="28"/>
                <w:szCs w:val="28"/>
              </w:rPr>
              <m:t>A</m:t>
            </m:r>
            <m:r>
              <w:rPr>
                <w:rFonts w:ascii="Times New Roman" w:hAnsi="Cambria Math" w:cs="Times New Roman"/>
                <w:sz w:val="28"/>
                <w:szCs w:val="28"/>
              </w:rPr>
              <m:t>*</m:t>
            </m:r>
            <m:r>
              <w:rPr>
                <w:rFonts w:ascii="Cambria Math" w:hAnsi="Cambria Math" w:cs="Times New Roman"/>
                <w:sz w:val="28"/>
                <w:szCs w:val="28"/>
              </w:rPr>
              <m:t>B</m:t>
            </m:r>
            <m:r>
              <w:rPr>
                <w:rFonts w:ascii="Times New Roman" w:hAnsi="Cambria Math" w:cs="Times New Roman"/>
                <w:sz w:val="28"/>
                <w:szCs w:val="28"/>
              </w:rPr>
              <m:t>*</m:t>
            </m:r>
            <m:r>
              <w:rPr>
                <w:rFonts w:ascii="Cambria Math" w:hAnsi="Cambria Math" w:cs="Times New Roman"/>
                <w:sz w:val="28"/>
                <w:szCs w:val="28"/>
              </w:rPr>
              <m:t>C</m:t>
            </m:r>
          </m:e>
        </m:rad>
      </m:oMath>
      <w:r w:rsidR="00C11FC2" w:rsidRPr="005B0BCB">
        <w:rPr>
          <w:rFonts w:ascii="Times New Roman" w:hAnsi="Times New Roman" w:cs="Times New Roman"/>
          <w:sz w:val="28"/>
          <w:szCs w:val="28"/>
        </w:rPr>
        <w:t>(7)</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После проведения вычислений страны ранжируются в порядке убывания и разделяются на четыре группы: страны с очень высоким индексом, страны с высоким индексом, страны со средним индексом и страны с низким индексом человеческого развития. Россия в этом списке стоит в числе стран с высоким индексом.</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 xml:space="preserve">Существует несколько причин смены методологии. Компоненты, необходимые для подсчета индекса по старой методологии, недостаточно точно отражают положение в стране. Грамотность — слишком общий показатель; по нему невозможно определить, насколько человек образован. Было решено </w:t>
      </w:r>
      <w:proofErr w:type="gramStart"/>
      <w:r w:rsidRPr="005B0BCB">
        <w:rPr>
          <w:rFonts w:ascii="Times New Roman" w:hAnsi="Times New Roman" w:cs="Times New Roman"/>
          <w:sz w:val="28"/>
          <w:szCs w:val="28"/>
        </w:rPr>
        <w:t>заменить его на другие</w:t>
      </w:r>
      <w:proofErr w:type="gramEnd"/>
      <w:r w:rsidRPr="005B0BCB">
        <w:rPr>
          <w:rFonts w:ascii="Times New Roman" w:hAnsi="Times New Roman" w:cs="Times New Roman"/>
          <w:sz w:val="28"/>
          <w:szCs w:val="28"/>
        </w:rPr>
        <w:t xml:space="preserve"> показатели: продолжительность и ожидаемая продолжительность обучения. </w:t>
      </w:r>
    </w:p>
    <w:p w:rsidR="00F2255D"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 xml:space="preserve">Схожая ситуация обстоит с ВВП на душу населения. ВВП — </w:t>
      </w:r>
      <w:proofErr w:type="spellStart"/>
      <w:r w:rsidRPr="005B0BCB">
        <w:rPr>
          <w:rFonts w:ascii="Times New Roman" w:hAnsi="Times New Roman" w:cs="Times New Roman"/>
          <w:sz w:val="28"/>
          <w:szCs w:val="28"/>
        </w:rPr>
        <w:t>общестрановой</w:t>
      </w:r>
      <w:proofErr w:type="spellEnd"/>
      <w:r w:rsidRPr="005B0BCB">
        <w:rPr>
          <w:rFonts w:ascii="Times New Roman" w:hAnsi="Times New Roman" w:cs="Times New Roman"/>
          <w:sz w:val="28"/>
          <w:szCs w:val="28"/>
        </w:rPr>
        <w:t xml:space="preserve"> показатель, он не предоставляет информации об индивидах. Уровень дохода на душу населения, наоборот, помогает предположить средний заработок граждан. Конечно, все описанные выше показатели предоставляют усредненную оценку. Особенно недостоверной она является в странах с высоким уровнем социального неравенства, поэтому для уточнения и усреднения данных в последние годы стал дополнительно рассчитываться ИЧР с учетом </w:t>
      </w:r>
      <w:proofErr w:type="spellStart"/>
      <w:r w:rsidRPr="005B0BCB">
        <w:rPr>
          <w:rFonts w:ascii="Times New Roman" w:hAnsi="Times New Roman" w:cs="Times New Roman"/>
          <w:sz w:val="28"/>
          <w:szCs w:val="28"/>
        </w:rPr>
        <w:t>внутристранового</w:t>
      </w:r>
      <w:proofErr w:type="spellEnd"/>
      <w:r w:rsidRPr="005B0BCB">
        <w:rPr>
          <w:rFonts w:ascii="Times New Roman" w:hAnsi="Times New Roman" w:cs="Times New Roman"/>
          <w:sz w:val="28"/>
          <w:szCs w:val="28"/>
        </w:rPr>
        <w:t xml:space="preserve"> неравенства. При этом учитываются не региональные отличия внутри страны, а отличия между социальными </w:t>
      </w:r>
      <w:r w:rsidRPr="005B0BCB">
        <w:rPr>
          <w:rFonts w:ascii="Times New Roman" w:hAnsi="Times New Roman" w:cs="Times New Roman"/>
          <w:sz w:val="28"/>
          <w:szCs w:val="28"/>
        </w:rPr>
        <w:lastRenderedPageBreak/>
        <w:t xml:space="preserve">группами ее населения. Корректировка ИЧР производится по каждому из трех компонентов путем его снижения пропорционально уровню неравенства для данного компонента (рассчитывается с использованием индекса </w:t>
      </w:r>
      <w:proofErr w:type="spellStart"/>
      <w:r w:rsidRPr="005B0BCB">
        <w:rPr>
          <w:rFonts w:ascii="Times New Roman" w:hAnsi="Times New Roman" w:cs="Times New Roman"/>
          <w:sz w:val="28"/>
          <w:szCs w:val="28"/>
        </w:rPr>
        <w:t>Аткинсона</w:t>
      </w:r>
      <w:proofErr w:type="spellEnd"/>
      <w:r w:rsidRPr="005B0BCB">
        <w:rPr>
          <w:rFonts w:ascii="Times New Roman" w:hAnsi="Times New Roman" w:cs="Times New Roman"/>
          <w:sz w:val="28"/>
          <w:szCs w:val="28"/>
        </w:rPr>
        <w:t>)</w:t>
      </w:r>
      <w:r w:rsidRPr="005B0BCB">
        <w:rPr>
          <w:rStyle w:val="a8"/>
          <w:rFonts w:ascii="Times New Roman" w:hAnsi="Times New Roman" w:cs="Times New Roman"/>
          <w:sz w:val="28"/>
          <w:szCs w:val="28"/>
        </w:rPr>
        <w:footnoteReference w:id="5"/>
      </w:r>
      <w:r w:rsidRPr="005B0BCB">
        <w:rPr>
          <w:rFonts w:ascii="Times New Roman" w:hAnsi="Times New Roman" w:cs="Times New Roman"/>
          <w:sz w:val="28"/>
          <w:szCs w:val="28"/>
        </w:rPr>
        <w:t xml:space="preserve">. </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shd w:val="clear" w:color="auto" w:fill="FFFFFF"/>
        </w:rPr>
        <w:t>Отличительной особенностью индекса является возможность измерения смещений в распределении доходов среди сегментов с разными доходами. Индекс может быть превращён в </w:t>
      </w:r>
      <w:hyperlink r:id="rId11" w:tooltip="Нормативная экономическая теория" w:history="1">
        <w:r w:rsidRPr="005B0BCB">
          <w:rPr>
            <w:rStyle w:val="a4"/>
            <w:rFonts w:ascii="Times New Roman" w:hAnsi="Times New Roman" w:cs="Times New Roman"/>
            <w:color w:val="auto"/>
            <w:sz w:val="28"/>
            <w:szCs w:val="28"/>
            <w:u w:val="none"/>
            <w:shd w:val="clear" w:color="auto" w:fill="FFFFFF"/>
          </w:rPr>
          <w:t>нормативный</w:t>
        </w:r>
      </w:hyperlink>
      <w:r w:rsidRPr="005B0BCB">
        <w:rPr>
          <w:rFonts w:ascii="Times New Roman" w:hAnsi="Times New Roman" w:cs="Times New Roman"/>
          <w:sz w:val="28"/>
          <w:szCs w:val="28"/>
          <w:shd w:val="clear" w:color="auto" w:fill="FFFFFF"/>
        </w:rPr>
        <w:t> показатель введением коэффициента ε для взвешивания доходов, который может принимать значения от 0 до </w:t>
      </w:r>
      <w:r w:rsidRPr="005B0BCB">
        <w:rPr>
          <w:rStyle w:val="mwe-math-mathml-inline"/>
          <w:rFonts w:ascii="Times New Roman" w:hAnsi="Times New Roman" w:cs="Times New Roman"/>
          <w:vanish/>
          <w:sz w:val="28"/>
          <w:szCs w:val="28"/>
          <w:shd w:val="clear" w:color="auto" w:fill="FFFFFF"/>
        </w:rPr>
        <w:t>{\displaystyle \infty }</w:t>
      </w:r>
      <w:r w:rsidRPr="005B0BCB">
        <w:rPr>
          <w:sz w:val="28"/>
          <w:szCs w:val="28"/>
          <w:shd w:val="clear" w:color="auto" w:fill="FFFFFF"/>
        </w:rPr>
        <w:t>∞</w:t>
      </w:r>
      <w:r w:rsidRPr="005B0BCB">
        <w:rPr>
          <w:rFonts w:ascii="Times New Roman" w:hAnsi="Times New Roman" w:cs="Times New Roman"/>
          <w:sz w:val="28"/>
          <w:szCs w:val="28"/>
          <w:shd w:val="clear" w:color="auto" w:fill="FFFFFF"/>
        </w:rPr>
        <w:t xml:space="preserve">. Смещениям в заданной части распределения доходов может быть придан больший вес выбором подходящего ε, уровня «неприязни к неравенству». Индекс </w:t>
      </w:r>
      <w:proofErr w:type="spellStart"/>
      <w:r w:rsidRPr="005B0BCB">
        <w:rPr>
          <w:rFonts w:ascii="Times New Roman" w:hAnsi="Times New Roman" w:cs="Times New Roman"/>
          <w:sz w:val="28"/>
          <w:szCs w:val="28"/>
          <w:shd w:val="clear" w:color="auto" w:fill="FFFFFF"/>
        </w:rPr>
        <w:t>Аткинсона</w:t>
      </w:r>
      <w:proofErr w:type="spellEnd"/>
      <w:r w:rsidRPr="005B0BCB">
        <w:rPr>
          <w:rFonts w:ascii="Times New Roman" w:hAnsi="Times New Roman" w:cs="Times New Roman"/>
          <w:sz w:val="28"/>
          <w:szCs w:val="28"/>
          <w:shd w:val="clear" w:color="auto" w:fill="FFFFFF"/>
        </w:rPr>
        <w:t xml:space="preserve"> становится более чувствительным к смещениям в нижней части распределения доходов по мере того как ε растёт. И наоборот, по мере того как уровень неприязни к неравенству уменьшает</w:t>
      </w:r>
      <w:r w:rsidRPr="005B0BCB">
        <w:rPr>
          <w:sz w:val="28"/>
          <w:szCs w:val="28"/>
          <w:shd w:val="clear" w:color="auto" w:fill="FFFFFF"/>
        </w:rPr>
        <w:t xml:space="preserve">ся </w:t>
      </w:r>
      <w:r w:rsidRPr="005B0BCB">
        <w:rPr>
          <w:rFonts w:ascii="Times New Roman" w:hAnsi="Times New Roman" w:cs="Times New Roman"/>
          <w:sz w:val="28"/>
          <w:szCs w:val="28"/>
          <w:shd w:val="clear" w:color="auto" w:fill="FFFFFF"/>
        </w:rPr>
        <w:t>(то есть ε приближается к 0</w:t>
      </w:r>
      <w:r w:rsidRPr="005B0BCB">
        <w:rPr>
          <w:sz w:val="28"/>
          <w:szCs w:val="28"/>
          <w:shd w:val="clear" w:color="auto" w:fill="FFFFFF"/>
        </w:rPr>
        <w:t>). И</w:t>
      </w:r>
      <w:r w:rsidRPr="005B0BCB">
        <w:rPr>
          <w:rFonts w:ascii="Times New Roman" w:hAnsi="Times New Roman" w:cs="Times New Roman"/>
          <w:sz w:val="28"/>
          <w:szCs w:val="28"/>
          <w:shd w:val="clear" w:color="auto" w:fill="FFFFFF"/>
        </w:rPr>
        <w:t xml:space="preserve">ндекс </w:t>
      </w:r>
      <w:proofErr w:type="spellStart"/>
      <w:r w:rsidRPr="005B0BCB">
        <w:rPr>
          <w:rFonts w:ascii="Times New Roman" w:hAnsi="Times New Roman" w:cs="Times New Roman"/>
          <w:sz w:val="28"/>
          <w:szCs w:val="28"/>
          <w:shd w:val="clear" w:color="auto" w:fill="FFFFFF"/>
        </w:rPr>
        <w:t>Аткинсона</w:t>
      </w:r>
      <w:proofErr w:type="spellEnd"/>
      <w:r w:rsidRPr="005B0BCB">
        <w:rPr>
          <w:rFonts w:ascii="Times New Roman" w:hAnsi="Times New Roman" w:cs="Times New Roman"/>
          <w:sz w:val="28"/>
          <w:szCs w:val="28"/>
          <w:shd w:val="clear" w:color="auto" w:fill="FFFFFF"/>
        </w:rPr>
        <w:t xml:space="preserve"> становится более чувствительным к смещениям в верхней части распределения доходов.</w:t>
      </w:r>
      <w:r w:rsidRPr="005B0BCB">
        <w:rPr>
          <w:rFonts w:ascii="Times New Roman" w:hAnsi="Times New Roman" w:cs="Times New Roman"/>
          <w:sz w:val="28"/>
          <w:szCs w:val="28"/>
        </w:rPr>
        <w:t xml:space="preserve"> Индекс </w:t>
      </w:r>
      <w:proofErr w:type="spellStart"/>
      <w:r w:rsidRPr="005B0BCB">
        <w:rPr>
          <w:rFonts w:ascii="Times New Roman" w:hAnsi="Times New Roman" w:cs="Times New Roman"/>
          <w:sz w:val="28"/>
          <w:szCs w:val="28"/>
        </w:rPr>
        <w:t>Аткинсона</w:t>
      </w:r>
      <w:proofErr w:type="spellEnd"/>
      <w:r w:rsidRPr="005B0BCB">
        <w:rPr>
          <w:rFonts w:ascii="Times New Roman" w:hAnsi="Times New Roman" w:cs="Times New Roman"/>
          <w:sz w:val="28"/>
          <w:szCs w:val="28"/>
        </w:rPr>
        <w:t xml:space="preserve"> определяется как:</w:t>
      </w:r>
    </w:p>
    <w:p w:rsidR="00C11FC2" w:rsidRPr="005B0BCB" w:rsidRDefault="00C11FC2" w:rsidP="00C11FC2">
      <w:pPr>
        <w:pStyle w:val="a5"/>
        <w:shd w:val="clear" w:color="auto" w:fill="FFFFFF"/>
        <w:spacing w:before="0" w:beforeAutospacing="0" w:after="0" w:afterAutospacing="0" w:line="360" w:lineRule="auto"/>
        <w:jc w:val="both"/>
        <w:rPr>
          <w:sz w:val="28"/>
          <w:szCs w:val="28"/>
        </w:rPr>
      </w:pPr>
      <w:r w:rsidRPr="005B0BCB">
        <w:rPr>
          <w:noProof/>
          <w:sz w:val="28"/>
          <w:szCs w:val="28"/>
        </w:rPr>
        <w:drawing>
          <wp:inline distT="0" distB="0" distL="0" distR="0">
            <wp:extent cx="3114675" cy="1571625"/>
            <wp:effectExtent l="0" t="0" r="0" b="0"/>
            <wp:docPr id="1" name="Рисунок 35" descr="http://ok-t.ru/studopediaru/baza4/1194194560.files/image0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ok-t.ru/studopediaru/baza4/1194194560.files/image025.gif"/>
                    <pic:cNvPicPr>
                      <a:picLocks noChangeAspect="1" noChangeArrowheads="1"/>
                    </pic:cNvPicPr>
                  </pic:nvPicPr>
                  <pic:blipFill>
                    <a:blip r:embed="rId12"/>
                    <a:srcRect/>
                    <a:stretch>
                      <a:fillRect/>
                    </a:stretch>
                  </pic:blipFill>
                  <pic:spPr bwMode="auto">
                    <a:xfrm>
                      <a:off x="0" y="0"/>
                      <a:ext cx="3114675" cy="1571625"/>
                    </a:xfrm>
                    <a:prstGeom prst="rect">
                      <a:avLst/>
                    </a:prstGeom>
                    <a:noFill/>
                    <a:ln w="9525">
                      <a:noFill/>
                      <a:miter lim="800000"/>
                      <a:headEnd/>
                      <a:tailEnd/>
                    </a:ln>
                  </pic:spPr>
                </pic:pic>
              </a:graphicData>
            </a:graphic>
          </wp:inline>
        </w:drawing>
      </w:r>
      <w:r w:rsidRPr="005B0BCB">
        <w:rPr>
          <w:sz w:val="28"/>
          <w:szCs w:val="28"/>
        </w:rPr>
        <w:t xml:space="preserve">                          (8)</w:t>
      </w:r>
    </w:p>
    <w:p w:rsidR="00C11FC2" w:rsidRPr="005B0BCB" w:rsidRDefault="00C11FC2" w:rsidP="00C11FC2">
      <w:pPr>
        <w:spacing w:after="0" w:line="360" w:lineRule="auto"/>
        <w:ind w:left="360"/>
        <w:rPr>
          <w:rFonts w:ascii="Times New Roman" w:eastAsia="Times New Roman" w:hAnsi="Times New Roman" w:cs="Times New Roman"/>
          <w:sz w:val="28"/>
          <w:szCs w:val="28"/>
        </w:rPr>
      </w:pPr>
      <w:r w:rsidRPr="005B0BCB">
        <w:rPr>
          <w:rFonts w:ascii="Times New Roman" w:eastAsia="Times New Roman" w:hAnsi="Times New Roman" w:cs="Times New Roman"/>
          <w:sz w:val="28"/>
          <w:szCs w:val="28"/>
        </w:rPr>
        <w:t xml:space="preserve"> где </w:t>
      </w:r>
      <w:r w:rsidRPr="005B0BCB">
        <w:rPr>
          <w:rFonts w:ascii="Times New Roman" w:eastAsia="Times New Roman" w:hAnsi="Times New Roman" w:cs="Times New Roman"/>
          <w:noProof/>
          <w:sz w:val="28"/>
          <w:szCs w:val="28"/>
        </w:rPr>
        <w:drawing>
          <wp:inline distT="0" distB="0" distL="0" distR="0">
            <wp:extent cx="133350" cy="238125"/>
            <wp:effectExtent l="19050" t="0" r="0" b="0"/>
            <wp:docPr id="39" name="Рисунок 39" descr="http://ok-t.ru/studopediaru/baza4/1194194560.files/image0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ok-t.ru/studopediaru/baza4/1194194560.files/image026.gif"/>
                    <pic:cNvPicPr>
                      <a:picLocks noChangeAspect="1" noChangeArrowheads="1"/>
                    </pic:cNvPicPr>
                  </pic:nvPicPr>
                  <pic:blipFill>
                    <a:blip r:embed="rId13"/>
                    <a:srcRect/>
                    <a:stretch>
                      <a:fillRect/>
                    </a:stretch>
                  </pic:blipFill>
                  <pic:spPr bwMode="auto">
                    <a:xfrm>
                      <a:off x="0" y="0"/>
                      <a:ext cx="133350" cy="238125"/>
                    </a:xfrm>
                    <a:prstGeom prst="rect">
                      <a:avLst/>
                    </a:prstGeom>
                    <a:noFill/>
                    <a:ln w="9525">
                      <a:noFill/>
                      <a:miter lim="800000"/>
                      <a:headEnd/>
                      <a:tailEnd/>
                    </a:ln>
                  </pic:spPr>
                </pic:pic>
              </a:graphicData>
            </a:graphic>
          </wp:inline>
        </w:drawing>
      </w:r>
      <w:r w:rsidRPr="005B0BCB">
        <w:rPr>
          <w:rFonts w:ascii="Times New Roman" w:eastAsia="Times New Roman" w:hAnsi="Times New Roman" w:cs="Times New Roman"/>
          <w:sz w:val="28"/>
          <w:szCs w:val="28"/>
        </w:rPr>
        <w:t> – ВРП i-ого региона;</w:t>
      </w:r>
    </w:p>
    <w:p w:rsidR="00C11FC2" w:rsidRPr="005B0BCB" w:rsidRDefault="00C11FC2" w:rsidP="00C11FC2">
      <w:pPr>
        <w:spacing w:after="0" w:line="360" w:lineRule="auto"/>
        <w:ind w:left="510"/>
        <w:rPr>
          <w:rFonts w:ascii="Times New Roman" w:eastAsia="Times New Roman" w:hAnsi="Times New Roman" w:cs="Times New Roman"/>
          <w:sz w:val="28"/>
          <w:szCs w:val="28"/>
        </w:rPr>
      </w:pPr>
      <w:r w:rsidRPr="005B0BCB">
        <w:rPr>
          <w:rFonts w:ascii="Times New Roman" w:eastAsia="Times New Roman" w:hAnsi="Times New Roman" w:cs="Times New Roman"/>
          <w:noProof/>
          <w:sz w:val="28"/>
          <w:szCs w:val="28"/>
        </w:rPr>
        <w:drawing>
          <wp:inline distT="0" distB="0" distL="0" distR="0">
            <wp:extent cx="133350" cy="209550"/>
            <wp:effectExtent l="19050" t="0" r="0" b="0"/>
            <wp:docPr id="40" name="Рисунок 40" descr="http://ok-t.ru/studopediaru/baza4/1194194560.files/image0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ok-t.ru/studopediaru/baza4/1194194560.files/image027.gif"/>
                    <pic:cNvPicPr>
                      <a:picLocks noChangeAspect="1" noChangeArrowheads="1"/>
                    </pic:cNvPicPr>
                  </pic:nvPicPr>
                  <pic:blipFill>
                    <a:blip r:embed="rId14"/>
                    <a:srcRect/>
                    <a:stretch>
                      <a:fillRect/>
                    </a:stretch>
                  </pic:blipFill>
                  <pic:spPr bwMode="auto">
                    <a:xfrm>
                      <a:off x="0" y="0"/>
                      <a:ext cx="133350" cy="209550"/>
                    </a:xfrm>
                    <a:prstGeom prst="rect">
                      <a:avLst/>
                    </a:prstGeom>
                    <a:noFill/>
                    <a:ln w="9525">
                      <a:noFill/>
                      <a:miter lim="800000"/>
                      <a:headEnd/>
                      <a:tailEnd/>
                    </a:ln>
                  </pic:spPr>
                </pic:pic>
              </a:graphicData>
            </a:graphic>
          </wp:inline>
        </w:drawing>
      </w:r>
      <w:r w:rsidRPr="005B0BCB">
        <w:rPr>
          <w:rFonts w:ascii="Times New Roman" w:eastAsia="Times New Roman" w:hAnsi="Times New Roman" w:cs="Times New Roman"/>
          <w:sz w:val="28"/>
          <w:szCs w:val="28"/>
        </w:rPr>
        <w:t>– среднее значение ВРП;</w:t>
      </w:r>
    </w:p>
    <w:p w:rsidR="00C11FC2" w:rsidRPr="005B0BCB" w:rsidRDefault="00C11FC2" w:rsidP="00C11FC2">
      <w:pPr>
        <w:spacing w:after="0" w:line="360" w:lineRule="auto"/>
        <w:ind w:left="510"/>
        <w:rPr>
          <w:rFonts w:ascii="Times New Roman" w:eastAsia="Times New Roman" w:hAnsi="Times New Roman" w:cs="Times New Roman"/>
          <w:sz w:val="28"/>
          <w:szCs w:val="28"/>
        </w:rPr>
      </w:pPr>
      <w:r w:rsidRPr="005B0BCB">
        <w:rPr>
          <w:rFonts w:ascii="Times New Roman" w:eastAsia="Times New Roman" w:hAnsi="Times New Roman" w:cs="Times New Roman"/>
          <w:sz w:val="28"/>
          <w:szCs w:val="28"/>
        </w:rPr>
        <w:t>N – количество регионов,</w:t>
      </w:r>
    </w:p>
    <w:p w:rsidR="00C11FC2" w:rsidRPr="005B0BCB" w:rsidRDefault="00C11FC2" w:rsidP="00C11FC2">
      <w:pPr>
        <w:spacing w:after="0" w:line="360" w:lineRule="auto"/>
        <w:ind w:left="510"/>
        <w:rPr>
          <w:rFonts w:ascii="Times New Roman" w:eastAsia="Times New Roman" w:hAnsi="Times New Roman" w:cs="Times New Roman"/>
          <w:sz w:val="28"/>
          <w:szCs w:val="28"/>
        </w:rPr>
      </w:pPr>
      <w:r w:rsidRPr="005B0BCB">
        <w:rPr>
          <w:rFonts w:ascii="Times New Roman" w:eastAsia="Times New Roman" w:hAnsi="Times New Roman" w:cs="Times New Roman"/>
          <w:sz w:val="28"/>
          <w:szCs w:val="28"/>
        </w:rPr>
        <w:t>ε – параметр, характеризующий отношение общества к неравенству.</w:t>
      </w:r>
      <w:r w:rsidRPr="005B0BCB">
        <w:rPr>
          <w:rStyle w:val="a8"/>
          <w:rFonts w:ascii="Times New Roman" w:eastAsia="Times New Roman" w:hAnsi="Times New Roman" w:cs="Times New Roman"/>
          <w:sz w:val="28"/>
          <w:szCs w:val="28"/>
        </w:rPr>
        <w:footnoteReference w:id="6"/>
      </w:r>
    </w:p>
    <w:p w:rsidR="00C11FC2" w:rsidRPr="005B0BCB" w:rsidRDefault="00C11FC2" w:rsidP="00C11FC2">
      <w:pPr>
        <w:pStyle w:val="a3"/>
        <w:spacing w:after="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 xml:space="preserve">Использование ИЧР, несмотря на очевидные положительные аспекты использования, вызывает ряд критических соображений, помимо осуждения </w:t>
      </w:r>
      <w:r w:rsidRPr="005B0BCB">
        <w:rPr>
          <w:rFonts w:ascii="Times New Roman" w:hAnsi="Times New Roman" w:cs="Times New Roman"/>
          <w:sz w:val="28"/>
          <w:szCs w:val="28"/>
        </w:rPr>
        <w:lastRenderedPageBreak/>
        <w:t>смены методологии. Главным критическим аргументом является ограниченный охват показателей данного индекса. Методология не включает такие факторы как экологическая ситуация в стране, техническое развитие, вклад в развитие с глобальной точки зрения. Кроме того, методология включает не только статистически измеренные показатели, но и оценочные данные, которые могут искажать значения индекса в ту или иную сторону.</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 xml:space="preserve">Тем не менее, на данный момент не существует другого более общепринятого и утвержденного метода сравнения стран по уровню развития общества. </w:t>
      </w:r>
    </w:p>
    <w:p w:rsidR="00C11FC2" w:rsidRPr="005B0BCB" w:rsidRDefault="00C11FC2" w:rsidP="00C11FC2">
      <w:pPr>
        <w:pStyle w:val="a3"/>
        <w:spacing w:before="240" w:line="360" w:lineRule="auto"/>
        <w:ind w:left="0" w:firstLine="567"/>
        <w:jc w:val="both"/>
        <w:rPr>
          <w:rFonts w:ascii="Times New Roman" w:hAnsi="Times New Roman" w:cs="Times New Roman"/>
          <w:sz w:val="28"/>
          <w:szCs w:val="28"/>
        </w:rPr>
      </w:pPr>
      <w:r w:rsidRPr="005B0BCB">
        <w:rPr>
          <w:rFonts w:ascii="Times New Roman" w:hAnsi="Times New Roman" w:cs="Times New Roman"/>
          <w:sz w:val="28"/>
          <w:szCs w:val="28"/>
        </w:rPr>
        <w:t>Таким образом, к сожалению, доступные статистические данные не позволяют вычислить индекс каждого субъекта России по новой методологии, предполагаемая продолжительность обучения не оценивается для каждого региона страны, поэтому региональное сравнение проводится по методологии, использовавшейся ООН до 2010 года, а международное сравнение проводится по новой методологии.</w:t>
      </w:r>
    </w:p>
    <w:p w:rsidR="002E7430" w:rsidRDefault="002E7430"/>
    <w:p w:rsidR="00804B7F" w:rsidRDefault="00804B7F"/>
    <w:p w:rsidR="00804B7F" w:rsidRDefault="00804B7F"/>
    <w:p w:rsidR="00804B7F" w:rsidRDefault="00804B7F"/>
    <w:p w:rsidR="00804B7F" w:rsidRDefault="00804B7F"/>
    <w:p w:rsidR="00804B7F" w:rsidRDefault="00804B7F"/>
    <w:p w:rsidR="00804B7F" w:rsidRDefault="00804B7F"/>
    <w:p w:rsidR="00804B7F" w:rsidRDefault="00804B7F"/>
    <w:p w:rsidR="00804B7F" w:rsidRDefault="00804B7F"/>
    <w:p w:rsidR="00804B7F" w:rsidRDefault="00804B7F"/>
    <w:p w:rsidR="00804B7F" w:rsidRDefault="00804B7F"/>
    <w:p w:rsidR="00804B7F" w:rsidRDefault="00804B7F"/>
    <w:p w:rsidR="00804B7F" w:rsidRDefault="00804B7F"/>
    <w:p w:rsidR="00804B7F" w:rsidRDefault="00804B7F"/>
    <w:p w:rsidR="00804B7F" w:rsidRPr="006769D0" w:rsidRDefault="00804B7F" w:rsidP="00804B7F">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СПИСОК ЛИТЕРАТУРЫ</w:t>
      </w:r>
    </w:p>
    <w:p w:rsidR="00FB47FB" w:rsidRDefault="007D03C1" w:rsidP="00FB47FB">
      <w:pPr>
        <w:pStyle w:val="a3"/>
        <w:spacing w:after="0" w:line="360" w:lineRule="auto"/>
        <w:ind w:left="0" w:firstLine="567"/>
        <w:rPr>
          <w:rFonts w:ascii="Times New Roman" w:hAnsi="Times New Roman" w:cs="Times New Roman"/>
          <w:sz w:val="28"/>
          <w:szCs w:val="28"/>
        </w:rPr>
      </w:pPr>
      <w:r>
        <w:rPr>
          <w:rFonts w:ascii="Times New Roman" w:hAnsi="Times New Roman" w:cs="Times New Roman"/>
          <w:sz w:val="28"/>
          <w:szCs w:val="28"/>
        </w:rPr>
        <w:t>1</w:t>
      </w:r>
      <w:r w:rsidR="00FB47FB" w:rsidRPr="00FB47FB">
        <w:rPr>
          <w:rFonts w:ascii="Times New Roman" w:hAnsi="Times New Roman" w:cs="Times New Roman"/>
          <w:sz w:val="28"/>
          <w:szCs w:val="28"/>
        </w:rPr>
        <w:t xml:space="preserve">. </w:t>
      </w:r>
      <w:r w:rsidR="00FB47FB">
        <w:rPr>
          <w:rFonts w:ascii="Times New Roman" w:hAnsi="Times New Roman" w:cs="Times New Roman"/>
          <w:sz w:val="28"/>
          <w:szCs w:val="28"/>
        </w:rPr>
        <w:t xml:space="preserve"> </w:t>
      </w:r>
      <w:proofErr w:type="spellStart"/>
      <w:r w:rsidR="00FB47FB">
        <w:rPr>
          <w:rFonts w:ascii="Times New Roman" w:hAnsi="Times New Roman" w:cs="Times New Roman"/>
          <w:sz w:val="28"/>
          <w:szCs w:val="28"/>
        </w:rPr>
        <w:t>Бобылева</w:t>
      </w:r>
      <w:proofErr w:type="spellEnd"/>
      <w:r w:rsidR="00FB47FB">
        <w:rPr>
          <w:rFonts w:ascii="Times New Roman" w:hAnsi="Times New Roman" w:cs="Times New Roman"/>
          <w:sz w:val="28"/>
          <w:szCs w:val="28"/>
        </w:rPr>
        <w:t>, С.Н., Григорьева,  Л.М.</w:t>
      </w:r>
      <w:r w:rsidR="00FB47FB" w:rsidRPr="00FB47FB">
        <w:rPr>
          <w:rFonts w:ascii="Times New Roman" w:hAnsi="Times New Roman" w:cs="Times New Roman"/>
          <w:sz w:val="28"/>
          <w:szCs w:val="28"/>
        </w:rPr>
        <w:t xml:space="preserve"> Доклад о человеческом развитии в Российской Федерации за 2015 год — М.: Аналитический центр при Правительстве Российской Федерации, 2015</w:t>
      </w:r>
      <w:r w:rsidR="00FB47FB">
        <w:rPr>
          <w:rFonts w:ascii="Times New Roman" w:hAnsi="Times New Roman" w:cs="Times New Roman"/>
          <w:sz w:val="28"/>
          <w:szCs w:val="28"/>
        </w:rPr>
        <w:t xml:space="preserve">.- 298 </w:t>
      </w:r>
      <w:proofErr w:type="gramStart"/>
      <w:r w:rsidR="00FB47FB">
        <w:rPr>
          <w:rFonts w:ascii="Times New Roman" w:hAnsi="Times New Roman" w:cs="Times New Roman"/>
          <w:sz w:val="28"/>
          <w:szCs w:val="28"/>
        </w:rPr>
        <w:t>с</w:t>
      </w:r>
      <w:proofErr w:type="gramEnd"/>
      <w:r w:rsidR="00FB47FB">
        <w:rPr>
          <w:rFonts w:ascii="Times New Roman" w:hAnsi="Times New Roman" w:cs="Times New Roman"/>
          <w:sz w:val="28"/>
          <w:szCs w:val="28"/>
        </w:rPr>
        <w:t>.;</w:t>
      </w:r>
    </w:p>
    <w:p w:rsidR="00FB47FB" w:rsidRPr="00FB47FB" w:rsidRDefault="007D03C1" w:rsidP="00FB47FB">
      <w:pPr>
        <w:pStyle w:val="a6"/>
        <w:spacing w:line="360" w:lineRule="auto"/>
        <w:ind w:firstLine="567"/>
        <w:rPr>
          <w:rFonts w:ascii="Times New Roman" w:hAnsi="Times New Roman" w:cs="Times New Roman"/>
          <w:sz w:val="28"/>
          <w:szCs w:val="28"/>
        </w:rPr>
      </w:pPr>
      <w:r>
        <w:rPr>
          <w:rFonts w:ascii="Times New Roman" w:hAnsi="Times New Roman" w:cs="Times New Roman"/>
          <w:sz w:val="28"/>
          <w:szCs w:val="28"/>
        </w:rPr>
        <w:t>2</w:t>
      </w:r>
      <w:r w:rsidR="00FB47FB" w:rsidRPr="00FB47FB">
        <w:rPr>
          <w:rFonts w:ascii="Times New Roman" w:hAnsi="Times New Roman" w:cs="Times New Roman"/>
          <w:sz w:val="28"/>
          <w:szCs w:val="28"/>
        </w:rPr>
        <w:t>. Современный экономический словарь</w:t>
      </w:r>
    </w:p>
    <w:p w:rsidR="00FB47FB" w:rsidRPr="00FB47FB" w:rsidRDefault="007D03C1" w:rsidP="00FB47FB">
      <w:pPr>
        <w:pStyle w:val="a6"/>
        <w:spacing w:line="360" w:lineRule="auto"/>
        <w:ind w:firstLine="567"/>
        <w:rPr>
          <w:rFonts w:ascii="Times New Roman" w:hAnsi="Times New Roman" w:cs="Times New Roman"/>
          <w:sz w:val="28"/>
          <w:szCs w:val="28"/>
        </w:rPr>
      </w:pPr>
      <w:r>
        <w:rPr>
          <w:rFonts w:ascii="Times New Roman" w:hAnsi="Times New Roman" w:cs="Times New Roman"/>
          <w:sz w:val="28"/>
          <w:szCs w:val="28"/>
        </w:rPr>
        <w:t>3</w:t>
      </w:r>
      <w:r w:rsidR="00804B7F" w:rsidRPr="00FB47FB">
        <w:rPr>
          <w:rFonts w:ascii="Times New Roman" w:hAnsi="Times New Roman" w:cs="Times New Roman"/>
          <w:sz w:val="28"/>
          <w:szCs w:val="28"/>
        </w:rPr>
        <w:t xml:space="preserve">. </w:t>
      </w:r>
      <w:r w:rsidR="00FB47FB" w:rsidRPr="00FB47FB">
        <w:rPr>
          <w:rFonts w:ascii="Times New Roman" w:hAnsi="Times New Roman" w:cs="Times New Roman"/>
          <w:sz w:val="28"/>
          <w:szCs w:val="28"/>
        </w:rPr>
        <w:t>Официальный сайт ПРООН, URL: http://hdr.undp.org/en/statistics/ihdi.</w:t>
      </w:r>
    </w:p>
    <w:p w:rsidR="00FB47FB" w:rsidRPr="00FB47FB" w:rsidRDefault="007D03C1" w:rsidP="00FB47FB">
      <w:pPr>
        <w:spacing w:line="360" w:lineRule="auto"/>
        <w:ind w:firstLine="567"/>
        <w:rPr>
          <w:rFonts w:ascii="Times New Roman" w:hAnsi="Times New Roman" w:cs="Times New Roman"/>
          <w:sz w:val="28"/>
          <w:szCs w:val="28"/>
        </w:rPr>
      </w:pPr>
      <w:r>
        <w:rPr>
          <w:rFonts w:ascii="Times New Roman" w:hAnsi="Times New Roman" w:cs="Times New Roman"/>
          <w:sz w:val="28"/>
          <w:szCs w:val="28"/>
        </w:rPr>
        <w:t>4</w:t>
      </w:r>
      <w:r w:rsidR="00FB47FB">
        <w:rPr>
          <w:rFonts w:ascii="Times New Roman" w:hAnsi="Times New Roman" w:cs="Times New Roman"/>
          <w:sz w:val="28"/>
          <w:szCs w:val="28"/>
        </w:rPr>
        <w:t xml:space="preserve">. </w:t>
      </w:r>
      <w:r w:rsidR="00FB47FB" w:rsidRPr="00FB47FB">
        <w:rPr>
          <w:rFonts w:ascii="Times New Roman" w:hAnsi="Times New Roman" w:cs="Times New Roman"/>
          <w:sz w:val="28"/>
          <w:szCs w:val="28"/>
        </w:rPr>
        <w:t>Официальный сайт ПРООН, URL: http://hdr.undp.org/en/data</w:t>
      </w:r>
    </w:p>
    <w:sectPr w:rsidR="00FB47FB" w:rsidRPr="00FB47FB" w:rsidSect="00F87AFF">
      <w:footerReference w:type="default" r:id="rId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02E6" w:rsidRDefault="00DF02E6" w:rsidP="00C11FC2">
      <w:pPr>
        <w:spacing w:after="0" w:line="240" w:lineRule="auto"/>
      </w:pPr>
      <w:r>
        <w:separator/>
      </w:r>
    </w:p>
  </w:endnote>
  <w:endnote w:type="continuationSeparator" w:id="1">
    <w:p w:rsidR="00DF02E6" w:rsidRDefault="00DF02E6" w:rsidP="00C11F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8389"/>
      <w:docPartObj>
        <w:docPartGallery w:val="Page Numbers (Bottom of Page)"/>
        <w:docPartUnique/>
      </w:docPartObj>
    </w:sdtPr>
    <w:sdtContent>
      <w:p w:rsidR="005B0BCB" w:rsidRDefault="00F87AFF">
        <w:pPr>
          <w:pStyle w:val="ae"/>
          <w:jc w:val="center"/>
        </w:pPr>
        <w:r>
          <w:fldChar w:fldCharType="begin"/>
        </w:r>
        <w:r w:rsidR="0008203B">
          <w:instrText xml:space="preserve"> PAGE   \* MERGEFORMAT </w:instrText>
        </w:r>
        <w:r>
          <w:fldChar w:fldCharType="separate"/>
        </w:r>
        <w:r w:rsidR="007D03C1">
          <w:rPr>
            <w:noProof/>
          </w:rPr>
          <w:t>10</w:t>
        </w:r>
        <w:r>
          <w:rPr>
            <w:noProof/>
          </w:rPr>
          <w:fldChar w:fldCharType="end"/>
        </w:r>
      </w:p>
    </w:sdtContent>
  </w:sdt>
  <w:p w:rsidR="005B0BCB" w:rsidRDefault="005B0BCB">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02E6" w:rsidRDefault="00DF02E6" w:rsidP="00C11FC2">
      <w:pPr>
        <w:spacing w:after="0" w:line="240" w:lineRule="auto"/>
      </w:pPr>
      <w:r>
        <w:separator/>
      </w:r>
    </w:p>
  </w:footnote>
  <w:footnote w:type="continuationSeparator" w:id="1">
    <w:p w:rsidR="00DF02E6" w:rsidRDefault="00DF02E6" w:rsidP="00C11FC2">
      <w:pPr>
        <w:spacing w:after="0" w:line="240" w:lineRule="auto"/>
      </w:pPr>
      <w:r>
        <w:continuationSeparator/>
      </w:r>
    </w:p>
  </w:footnote>
  <w:footnote w:id="2">
    <w:p w:rsidR="00C11FC2" w:rsidRDefault="00C11FC2" w:rsidP="00C11FC2">
      <w:pPr>
        <w:pStyle w:val="a6"/>
      </w:pPr>
      <w:r>
        <w:rPr>
          <w:rStyle w:val="a8"/>
        </w:rPr>
        <w:footnoteRef/>
      </w:r>
      <w:r w:rsidRPr="00BC2D87">
        <w:rPr>
          <w:rFonts w:ascii="Times New Roman" w:hAnsi="Times New Roman" w:cs="Times New Roman"/>
        </w:rPr>
        <w:t>Официальный сайт ПРООН, URL: http://hdr.undp.org/en/data</w:t>
      </w:r>
    </w:p>
  </w:footnote>
  <w:footnote w:id="3">
    <w:p w:rsidR="00C11FC2" w:rsidRDefault="00C11FC2" w:rsidP="00C11FC2">
      <w:pPr>
        <w:pStyle w:val="a6"/>
      </w:pPr>
      <w:r>
        <w:rPr>
          <w:rStyle w:val="a8"/>
        </w:rPr>
        <w:footnoteRef/>
      </w:r>
      <w:r w:rsidRPr="0049229A">
        <w:rPr>
          <w:rFonts w:ascii="Times New Roman" w:hAnsi="Times New Roman" w:cs="Times New Roman"/>
        </w:rPr>
        <w:t>Современный экономический словарь</w:t>
      </w:r>
    </w:p>
  </w:footnote>
  <w:footnote w:id="4">
    <w:p w:rsidR="00C11FC2" w:rsidRPr="00217978" w:rsidRDefault="00C11FC2" w:rsidP="00C11FC2">
      <w:pPr>
        <w:pStyle w:val="a6"/>
        <w:rPr>
          <w:rFonts w:ascii="Times New Roman" w:hAnsi="Times New Roman" w:cs="Times New Roman"/>
        </w:rPr>
      </w:pPr>
      <w:r>
        <w:rPr>
          <w:rStyle w:val="a8"/>
        </w:rPr>
        <w:footnoteRef/>
      </w:r>
      <w:r w:rsidRPr="00217978">
        <w:rPr>
          <w:rFonts w:ascii="Times New Roman" w:hAnsi="Times New Roman" w:cs="Times New Roman"/>
          <w:i/>
        </w:rPr>
        <w:t xml:space="preserve">Л.М. Григорьева и С.Н. </w:t>
      </w:r>
      <w:proofErr w:type="spellStart"/>
      <w:r w:rsidRPr="00217978">
        <w:rPr>
          <w:rFonts w:ascii="Times New Roman" w:hAnsi="Times New Roman" w:cs="Times New Roman"/>
          <w:i/>
        </w:rPr>
        <w:t>Бобылева</w:t>
      </w:r>
      <w:proofErr w:type="spellEnd"/>
      <w:r w:rsidRPr="00217978">
        <w:rPr>
          <w:rFonts w:ascii="Times New Roman" w:hAnsi="Times New Roman" w:cs="Times New Roman"/>
          <w:i/>
        </w:rPr>
        <w:t>.</w:t>
      </w:r>
      <w:r w:rsidRPr="00217978">
        <w:rPr>
          <w:rFonts w:ascii="Times New Roman" w:hAnsi="Times New Roman" w:cs="Times New Roman"/>
        </w:rPr>
        <w:t xml:space="preserve"> Доклад о человеческом развитии в Российской Федерации за 2015 год — М.: Аналитический центр при Правительстве Р</w:t>
      </w:r>
      <w:r>
        <w:rPr>
          <w:rFonts w:ascii="Times New Roman" w:hAnsi="Times New Roman" w:cs="Times New Roman"/>
        </w:rPr>
        <w:t>оссийской Федерации, 2015</w:t>
      </w:r>
      <w:r w:rsidRPr="00217978">
        <w:rPr>
          <w:rFonts w:ascii="Times New Roman" w:hAnsi="Times New Roman" w:cs="Times New Roman"/>
        </w:rPr>
        <w:t>.</w:t>
      </w:r>
    </w:p>
  </w:footnote>
  <w:footnote w:id="5">
    <w:p w:rsidR="00C11FC2" w:rsidRDefault="00C11FC2" w:rsidP="00C11FC2">
      <w:pPr>
        <w:pStyle w:val="a6"/>
      </w:pPr>
      <w:r>
        <w:rPr>
          <w:rStyle w:val="a8"/>
        </w:rPr>
        <w:footnoteRef/>
      </w:r>
      <w:r w:rsidRPr="00A150AF">
        <w:rPr>
          <w:rFonts w:ascii="Times New Roman" w:hAnsi="Times New Roman" w:cs="Times New Roman"/>
        </w:rPr>
        <w:t>Официальный сайт ПРООН, URL: http://hdr.undp.org/en/statistics/ihdi</w:t>
      </w:r>
      <w:r>
        <w:t>.</w:t>
      </w:r>
    </w:p>
  </w:footnote>
  <w:footnote w:id="6">
    <w:p w:rsidR="00C11FC2" w:rsidRDefault="00C11FC2" w:rsidP="00C11FC2">
      <w:pPr>
        <w:pStyle w:val="a6"/>
      </w:pPr>
      <w:r>
        <w:rPr>
          <w:rStyle w:val="a8"/>
        </w:rPr>
        <w:footnoteRef/>
      </w:r>
      <w:r w:rsidRPr="00217978">
        <w:rPr>
          <w:rFonts w:ascii="Times New Roman" w:hAnsi="Times New Roman" w:cs="Times New Roman"/>
        </w:rPr>
        <w:t>Официальный сайт ПРООН, URL: http://hdr.undp.org/en/statistics/ihdi.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102CF"/>
    <w:multiLevelType w:val="hybridMultilevel"/>
    <w:tmpl w:val="47641EB6"/>
    <w:lvl w:ilvl="0" w:tplc="73702490">
      <w:start w:val="1"/>
      <w:numFmt w:val="decimal"/>
      <w:lvlText w:val="%1."/>
      <w:lvlJc w:val="left"/>
      <w:pPr>
        <w:ind w:left="1452" w:hanging="88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58882A4A"/>
    <w:multiLevelType w:val="hybridMultilevel"/>
    <w:tmpl w:val="BBF66A72"/>
    <w:lvl w:ilvl="0" w:tplc="0CACA616">
      <w:start w:val="1"/>
      <w:numFmt w:val="decimal"/>
      <w:lvlText w:val="%1."/>
      <w:lvlJc w:val="left"/>
      <w:pPr>
        <w:ind w:left="1452" w:hanging="88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C11FC2"/>
    <w:rsid w:val="0008203B"/>
    <w:rsid w:val="002521AF"/>
    <w:rsid w:val="002E7430"/>
    <w:rsid w:val="00345F10"/>
    <w:rsid w:val="003D2EDD"/>
    <w:rsid w:val="005B0BCB"/>
    <w:rsid w:val="007D03C1"/>
    <w:rsid w:val="00804B7F"/>
    <w:rsid w:val="00950739"/>
    <w:rsid w:val="00C11FC2"/>
    <w:rsid w:val="00DF02E6"/>
    <w:rsid w:val="00F2255D"/>
    <w:rsid w:val="00F87AFF"/>
    <w:rsid w:val="00FB47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A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1FC2"/>
    <w:pPr>
      <w:ind w:left="720"/>
      <w:contextualSpacing/>
    </w:pPr>
    <w:rPr>
      <w:rFonts w:eastAsiaTheme="minorHAnsi"/>
      <w:lang w:eastAsia="en-US"/>
    </w:rPr>
  </w:style>
  <w:style w:type="character" w:styleId="a4">
    <w:name w:val="Hyperlink"/>
    <w:basedOn w:val="a0"/>
    <w:uiPriority w:val="99"/>
    <w:unhideWhenUsed/>
    <w:rsid w:val="00C11FC2"/>
    <w:rPr>
      <w:color w:val="0000FF"/>
      <w:u w:val="single"/>
    </w:rPr>
  </w:style>
  <w:style w:type="paragraph" w:styleId="a5">
    <w:name w:val="Normal (Web)"/>
    <w:basedOn w:val="a"/>
    <w:uiPriority w:val="99"/>
    <w:unhideWhenUsed/>
    <w:rsid w:val="00C11FC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note text"/>
    <w:basedOn w:val="a"/>
    <w:link w:val="a7"/>
    <w:uiPriority w:val="99"/>
    <w:semiHidden/>
    <w:unhideWhenUsed/>
    <w:rsid w:val="00C11FC2"/>
    <w:pPr>
      <w:spacing w:after="0" w:line="240" w:lineRule="auto"/>
    </w:pPr>
    <w:rPr>
      <w:rFonts w:eastAsiaTheme="minorHAnsi"/>
      <w:sz w:val="20"/>
      <w:szCs w:val="20"/>
      <w:lang w:eastAsia="en-US"/>
    </w:rPr>
  </w:style>
  <w:style w:type="character" w:customStyle="1" w:styleId="a7">
    <w:name w:val="Текст сноски Знак"/>
    <w:basedOn w:val="a0"/>
    <w:link w:val="a6"/>
    <w:uiPriority w:val="99"/>
    <w:semiHidden/>
    <w:rsid w:val="00C11FC2"/>
    <w:rPr>
      <w:rFonts w:eastAsiaTheme="minorHAnsi"/>
      <w:sz w:val="20"/>
      <w:szCs w:val="20"/>
      <w:lang w:eastAsia="en-US"/>
    </w:rPr>
  </w:style>
  <w:style w:type="character" w:styleId="a8">
    <w:name w:val="footnote reference"/>
    <w:basedOn w:val="a0"/>
    <w:uiPriority w:val="99"/>
    <w:semiHidden/>
    <w:unhideWhenUsed/>
    <w:rsid w:val="00C11FC2"/>
    <w:rPr>
      <w:vertAlign w:val="superscript"/>
    </w:rPr>
  </w:style>
  <w:style w:type="table" w:styleId="a9">
    <w:name w:val="Table Grid"/>
    <w:basedOn w:val="a1"/>
    <w:uiPriority w:val="59"/>
    <w:rsid w:val="00C11FC2"/>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we-math-mathml-inline">
    <w:name w:val="mwe-math-mathml-inline"/>
    <w:basedOn w:val="a0"/>
    <w:rsid w:val="00C11FC2"/>
  </w:style>
  <w:style w:type="paragraph" w:styleId="aa">
    <w:name w:val="Balloon Text"/>
    <w:basedOn w:val="a"/>
    <w:link w:val="ab"/>
    <w:uiPriority w:val="99"/>
    <w:semiHidden/>
    <w:unhideWhenUsed/>
    <w:rsid w:val="00C11FC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11FC2"/>
    <w:rPr>
      <w:rFonts w:ascii="Tahoma" w:hAnsi="Tahoma" w:cs="Tahoma"/>
      <w:sz w:val="16"/>
      <w:szCs w:val="16"/>
    </w:rPr>
  </w:style>
  <w:style w:type="paragraph" w:styleId="ac">
    <w:name w:val="header"/>
    <w:basedOn w:val="a"/>
    <w:link w:val="ad"/>
    <w:uiPriority w:val="99"/>
    <w:semiHidden/>
    <w:unhideWhenUsed/>
    <w:rsid w:val="005B0BCB"/>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5B0BCB"/>
  </w:style>
  <w:style w:type="paragraph" w:styleId="ae">
    <w:name w:val="footer"/>
    <w:basedOn w:val="a"/>
    <w:link w:val="af"/>
    <w:uiPriority w:val="99"/>
    <w:unhideWhenUsed/>
    <w:rsid w:val="005B0BC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B0BCB"/>
  </w:style>
  <w:style w:type="character" w:customStyle="1" w:styleId="2">
    <w:name w:val="Основной текст (2)_"/>
    <w:basedOn w:val="a0"/>
    <w:link w:val="20"/>
    <w:rsid w:val="00804B7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804B7F"/>
    <w:pPr>
      <w:widowControl w:val="0"/>
      <w:shd w:val="clear" w:color="auto" w:fill="FFFFFF"/>
      <w:spacing w:after="0" w:line="480" w:lineRule="exac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2%D0%92%D0%9F" TargetMode="External"/><Relationship Id="rId13"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image" Target="media/image1.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D%D0%BE%D1%80%D0%BC%D0%B0%D1%82%D0%B8%D0%B2%D0%BD%D0%B0%D1%8F_%D1%8D%D0%BA%D0%BE%D0%BD%D0%BE%D0%BC%D0%B8%D1%87%D0%B5%D1%81%D0%BA%D0%B0%D1%8F_%D1%82%D0%B5%D0%BE%D1%80%D0%B8%D1%8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ru.wikipedia.org/wiki/%D0%9F%D0%BE%D0%BA%D1%83%D0%BF%D0%B0%D1%82%D0%B5%D0%BB%D1%8C%D0%BD%D0%B0%D1%8F_%D1%81%D0%BF%D0%BE%D1%81%D0%BE%D0%B1%D0%BD%D0%BE%D1%81%D1%82%D1%8C" TargetMode="External"/><Relationship Id="rId4" Type="http://schemas.openxmlformats.org/officeDocument/2006/relationships/webSettings" Target="webSettings.xml"/><Relationship Id="rId9" Type="http://schemas.openxmlformats.org/officeDocument/2006/relationships/hyperlink" Target="https://ru.wikipedia.org/wiki/%D0%9F%D0%B0%D1%80%D0%B8%D1%82%D0%B5%D1%82_%D0%BF%D0%BE%D0%BA%D1%83%D0%BF%D0%B0%D1%82%D0%B5%D0%BB%D1%8C%D0%BD%D0%BE%D0%B9_%D1%81%D0%BF%D0%BE%D1%81%D0%BE%D0%B1%D0%BD%D0%BE%D1%81%D1%82%D0%B8" TargetMode="External"/><Relationship Id="rId14" Type="http://schemas.openxmlformats.org/officeDocument/2006/relationships/image" Target="media/image3.gif"/></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lang val="ru-RU"/>
  <c:style val="4"/>
  <c:chart>
    <c:title>
      <c:layout/>
      <c:txPr>
        <a:bodyPr/>
        <a:lstStyle/>
        <a:p>
          <a:pPr>
            <a:defRPr>
              <a:latin typeface="Times New Roman" pitchFamily="18" charset="0"/>
              <a:cs typeface="Times New Roman" pitchFamily="18" charset="0"/>
            </a:defRPr>
          </a:pPr>
          <a:endParaRPr lang="ru-RU"/>
        </a:p>
      </c:txPr>
    </c:title>
    <c:plotArea>
      <c:layout>
        <c:manualLayout>
          <c:layoutTarget val="inner"/>
          <c:xMode val="edge"/>
          <c:yMode val="edge"/>
          <c:x val="8.3720277539565027E-2"/>
          <c:y val="0.2976345922861337"/>
          <c:w val="0.49718122443996832"/>
          <c:h val="0.57133929445260023"/>
        </c:manualLayout>
      </c:layout>
      <c:lineChart>
        <c:grouping val="standard"/>
        <c:ser>
          <c:idx val="0"/>
          <c:order val="0"/>
          <c:tx>
            <c:strRef>
              <c:f>Лист1!$B$1</c:f>
              <c:strCache>
                <c:ptCount val="1"/>
                <c:pt idx="0">
                  <c:v>Индекс человеческого развития Республики Алтай</c:v>
                </c:pt>
              </c:strCache>
            </c:strRef>
          </c:tx>
          <c:marker>
            <c:symbol val="none"/>
          </c:marker>
          <c:cat>
            <c:numRef>
              <c:f>Лист1!$A$2:$A$5</c:f>
              <c:numCache>
                <c:formatCode>General</c:formatCode>
                <c:ptCount val="4"/>
                <c:pt idx="0">
                  <c:v>2013</c:v>
                </c:pt>
                <c:pt idx="1">
                  <c:v>2014</c:v>
                </c:pt>
                <c:pt idx="2">
                  <c:v>2015</c:v>
                </c:pt>
              </c:numCache>
            </c:numRef>
          </c:cat>
          <c:val>
            <c:numRef>
              <c:f>Лист1!$B$2:$B$5</c:f>
              <c:numCache>
                <c:formatCode>General</c:formatCode>
                <c:ptCount val="4"/>
                <c:pt idx="0">
                  <c:v>0.80500000000000005</c:v>
                </c:pt>
                <c:pt idx="1">
                  <c:v>0.81399999999999995</c:v>
                </c:pt>
                <c:pt idx="2">
                  <c:v>0.81200000000000061</c:v>
                </c:pt>
              </c:numCache>
            </c:numRef>
          </c:val>
          <c:extLst xmlns:c16r2="http://schemas.microsoft.com/office/drawing/2015/06/chart">
            <c:ext xmlns:c16="http://schemas.microsoft.com/office/drawing/2014/chart" uri="{C3380CC4-5D6E-409C-BE32-E72D297353CC}">
              <c16:uniqueId val="{00000000-7A48-4266-AD0C-101C7789419F}"/>
            </c:ext>
          </c:extLst>
        </c:ser>
        <c:dLbls/>
        <c:marker val="1"/>
        <c:axId val="68115840"/>
        <c:axId val="68117632"/>
      </c:lineChart>
      <c:catAx>
        <c:axId val="68115840"/>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68117632"/>
        <c:crosses val="autoZero"/>
        <c:auto val="1"/>
        <c:lblAlgn val="ctr"/>
        <c:lblOffset val="100"/>
      </c:catAx>
      <c:valAx>
        <c:axId val="68117632"/>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68115840"/>
        <c:crosses val="autoZero"/>
        <c:crossBetween val="between"/>
      </c:valAx>
    </c:plotArea>
    <c:legend>
      <c:legendPos val="r"/>
      <c:layout/>
      <c:txPr>
        <a:bodyPr/>
        <a:lstStyle/>
        <a:p>
          <a:pPr>
            <a:defRPr>
              <a:latin typeface="Times New Roman" pitchFamily="18" charset="0"/>
              <a:cs typeface="Times New Roman" pitchFamily="18" charset="0"/>
            </a:defRPr>
          </a:pPr>
          <a:endParaRPr lang="ru-RU"/>
        </a:p>
      </c:txPr>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10</Pages>
  <Words>2130</Words>
  <Characters>12146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2018-11-19T06:26:00Z</dcterms:created>
  <dcterms:modified xsi:type="dcterms:W3CDTF">2018-11-19T11:36:00Z</dcterms:modified>
</cp:coreProperties>
</file>