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A3E" w:rsidRPr="008C6BCD" w:rsidRDefault="00B927AF" w:rsidP="001419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C6BCD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8C6BCD">
        <w:rPr>
          <w:rFonts w:ascii="Times New Roman" w:hAnsi="Times New Roman" w:cs="Times New Roman"/>
          <w:b/>
          <w:sz w:val="24"/>
          <w:szCs w:val="24"/>
          <w:lang w:val="en-US"/>
        </w:rPr>
        <w:t>PYP</w:t>
      </w:r>
      <w:r w:rsidRPr="008C6B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E1350" w:rsidRPr="008C6BCD">
        <w:rPr>
          <w:rFonts w:ascii="Times New Roman" w:hAnsi="Times New Roman" w:cs="Times New Roman"/>
          <w:b/>
          <w:sz w:val="24"/>
          <w:szCs w:val="24"/>
        </w:rPr>
        <w:t>Исследовательский подход.</w:t>
      </w:r>
      <w:r w:rsidRPr="008C6BCD">
        <w:rPr>
          <w:rFonts w:ascii="Times New Roman" w:hAnsi="Times New Roman" w:cs="Times New Roman"/>
          <w:b/>
          <w:sz w:val="24"/>
          <w:szCs w:val="24"/>
        </w:rPr>
        <w:t xml:space="preserve"> Характеристика, преимущества и стратегии. </w:t>
      </w:r>
    </w:p>
    <w:bookmarkEnd w:id="0"/>
    <w:p w:rsidR="00577BA7" w:rsidRPr="001419F2" w:rsidRDefault="00B927AF" w:rsidP="001419F2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419F2">
        <w:rPr>
          <w:rFonts w:ascii="Times New Roman" w:hAnsi="Times New Roman" w:cs="Times New Roman"/>
          <w:sz w:val="24"/>
          <w:szCs w:val="24"/>
        </w:rPr>
        <w:t>Исследовательск</w:t>
      </w:r>
      <w:r w:rsidR="00825076" w:rsidRPr="001419F2">
        <w:rPr>
          <w:rFonts w:ascii="Times New Roman" w:hAnsi="Times New Roman" w:cs="Times New Roman"/>
          <w:sz w:val="24"/>
          <w:szCs w:val="24"/>
        </w:rPr>
        <w:t xml:space="preserve">ий подход </w:t>
      </w:r>
      <w:r w:rsidR="008D4253" w:rsidRPr="001419F2">
        <w:rPr>
          <w:rFonts w:ascii="Times New Roman" w:hAnsi="Times New Roman" w:cs="Times New Roman"/>
          <w:sz w:val="24"/>
          <w:szCs w:val="24"/>
        </w:rPr>
        <w:t>(</w:t>
      </w:r>
      <w:r w:rsidR="008D4253" w:rsidRPr="001419F2">
        <w:rPr>
          <w:rFonts w:ascii="Times New Roman" w:hAnsi="Times New Roman" w:cs="Times New Roman"/>
          <w:sz w:val="24"/>
          <w:szCs w:val="24"/>
          <w:lang w:val="en-US"/>
        </w:rPr>
        <w:t>Inquiry</w:t>
      </w:r>
      <w:r w:rsidR="008D4253" w:rsidRPr="001419F2">
        <w:rPr>
          <w:rFonts w:ascii="Times New Roman" w:hAnsi="Times New Roman" w:cs="Times New Roman"/>
          <w:sz w:val="24"/>
          <w:szCs w:val="24"/>
        </w:rPr>
        <w:t xml:space="preserve"> </w:t>
      </w:r>
      <w:r w:rsidR="008D4253" w:rsidRPr="001419F2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="008D4253" w:rsidRPr="001419F2">
        <w:rPr>
          <w:rFonts w:ascii="Times New Roman" w:hAnsi="Times New Roman" w:cs="Times New Roman"/>
          <w:sz w:val="24"/>
          <w:szCs w:val="24"/>
        </w:rPr>
        <w:t xml:space="preserve"> </w:t>
      </w:r>
      <w:r w:rsidR="008D4253" w:rsidRPr="001419F2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8D4253" w:rsidRPr="001419F2">
        <w:rPr>
          <w:rFonts w:ascii="Times New Roman" w:hAnsi="Times New Roman" w:cs="Times New Roman"/>
          <w:sz w:val="24"/>
          <w:szCs w:val="24"/>
        </w:rPr>
        <w:t xml:space="preserve">) </w:t>
      </w:r>
      <w:r w:rsidR="00825076" w:rsidRPr="001419F2">
        <w:rPr>
          <w:rFonts w:ascii="Times New Roman" w:hAnsi="Times New Roman" w:cs="Times New Roman"/>
          <w:sz w:val="24"/>
          <w:szCs w:val="24"/>
        </w:rPr>
        <w:t>или о</w:t>
      </w:r>
      <w:r w:rsidR="00825076" w:rsidRPr="001419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бучение путем открытия — </w:t>
      </w:r>
      <w:hyperlink r:id="rId8" w:tooltip="Педагогика" w:history="1">
        <w:r w:rsidR="00825076" w:rsidRPr="001419F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педагогический</w:t>
        </w:r>
      </w:hyperlink>
      <w:r w:rsidR="00825076" w:rsidRPr="001419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подход, разработанный в 1960-х годах как ответ на традиционные формы обучения, в которых требовалось запоминания информации из учебных материалов.</w:t>
      </w:r>
      <w:hyperlink r:id="rId9" w:anchor="cite_note-4" w:history="1">
        <w:r w:rsidR="00825076" w:rsidRPr="001419F2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vertAlign w:val="superscript"/>
          </w:rPr>
          <w:t>[4]</w:t>
        </w:r>
      </w:hyperlink>
      <w:r w:rsidR="00825076" w:rsidRPr="001419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Философия «обучения через открытие» происходит из конструктивистских теорий обучения, таких, как работы </w:t>
      </w:r>
      <w:hyperlink r:id="rId10" w:tooltip="Пиаже, Жан" w:history="1">
        <w:r w:rsidR="00825076" w:rsidRPr="001419F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Пиаже</w:t>
        </w:r>
      </w:hyperlink>
      <w:r w:rsidR="00825076" w:rsidRPr="001419F2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="00825076" w:rsidRPr="001419F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825076" w:rsidRPr="001419F2">
        <w:rPr>
          <w:rFonts w:ascii="Times New Roman" w:hAnsi="Times New Roman" w:cs="Times New Roman"/>
          <w:sz w:val="24"/>
          <w:szCs w:val="24"/>
        </w:rPr>
        <w:fldChar w:fldCharType="begin"/>
      </w:r>
      <w:r w:rsidR="00825076" w:rsidRPr="001419F2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"https://ru.wikipedia.org/wiki/%D0%94%D1%8C%D1%8E%D0%B8,_%D0%94%D0%B6%D0%BE%D0%BD" \o "Дьюи, Джон" </w:instrText>
      </w:r>
      <w:r w:rsidR="00825076" w:rsidRPr="001419F2">
        <w:rPr>
          <w:rFonts w:ascii="Times New Roman" w:hAnsi="Times New Roman" w:cs="Times New Roman"/>
          <w:sz w:val="24"/>
          <w:szCs w:val="24"/>
        </w:rPr>
        <w:fldChar w:fldCharType="separate"/>
      </w:r>
      <w:r w:rsidR="00825076" w:rsidRPr="001419F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Дьюи</w:t>
      </w:r>
      <w:proofErr w:type="spellEnd"/>
      <w:r w:rsidR="00825076" w:rsidRPr="001419F2">
        <w:rPr>
          <w:rFonts w:ascii="Times New Roman" w:hAnsi="Times New Roman" w:cs="Times New Roman"/>
          <w:sz w:val="24"/>
          <w:szCs w:val="24"/>
        </w:rPr>
        <w:fldChar w:fldCharType="end"/>
      </w:r>
      <w:r w:rsidR="00825076" w:rsidRPr="001419F2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="00825076" w:rsidRPr="00141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Л.С. </w:t>
      </w:r>
      <w:hyperlink r:id="rId11" w:tooltip="Выготский, Лев Семёнович" w:history="1">
        <w:r w:rsidR="00825076" w:rsidRPr="001419F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Выготского</w:t>
        </w:r>
      </w:hyperlink>
      <w:r w:rsidR="00825076" w:rsidRPr="001419F2">
        <w:rPr>
          <w:rStyle w:val="a8"/>
          <w:rFonts w:ascii="Times New Roman" w:hAnsi="Times New Roman" w:cs="Times New Roman"/>
          <w:sz w:val="24"/>
          <w:szCs w:val="24"/>
        </w:rPr>
        <w:footnoteReference w:id="3"/>
      </w:r>
      <w:r w:rsidR="00825076" w:rsidRPr="00141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 </w:t>
      </w:r>
      <w:proofErr w:type="spellStart"/>
      <w:r w:rsidR="00825076" w:rsidRPr="001419F2">
        <w:rPr>
          <w:rFonts w:ascii="Times New Roman" w:hAnsi="Times New Roman" w:cs="Times New Roman"/>
          <w:sz w:val="24"/>
          <w:szCs w:val="24"/>
          <w:shd w:val="clear" w:color="auto" w:fill="FFFFFF"/>
        </w:rPr>
        <w:t>Фрейре</w:t>
      </w:r>
      <w:proofErr w:type="spellEnd"/>
      <w:r w:rsidR="00825076" w:rsidRPr="001419F2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footnoteReference w:id="4"/>
      </w:r>
      <w:r w:rsidR="00825076" w:rsidRPr="001419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8D4253" w:rsidRPr="001419F2" w:rsidRDefault="008D4253" w:rsidP="001419F2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419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Работы этих ученых изучает любой студент педагогического института, любой уважающий себя учитель знает и истоки системно-</w:t>
      </w:r>
      <w:proofErr w:type="spellStart"/>
      <w:r w:rsidRPr="001419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деятельностного</w:t>
      </w:r>
      <w:proofErr w:type="spellEnd"/>
      <w:r w:rsidRPr="001419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подхода в отечественной педагогике.</w:t>
      </w:r>
    </w:p>
    <w:p w:rsidR="008D4253" w:rsidRPr="001419F2" w:rsidRDefault="008D4253" w:rsidP="001419F2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419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этой статье, я бы хотела рассмотреть исследовательский подход с точки зрения его применения в практике международного </w:t>
      </w:r>
      <w:proofErr w:type="spellStart"/>
      <w:r w:rsidRPr="001419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бакалавриата</w:t>
      </w:r>
      <w:proofErr w:type="spellEnd"/>
      <w:r w:rsidRPr="001419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419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IB</w:t>
      </w:r>
      <w:r w:rsidRPr="001419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419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PYP</w:t>
      </w:r>
      <w:r w:rsidRPr="001419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познакомив читателей с именами менее известными российскому педагогическому сообществу – Джозеф Шваб и Маршалл </w:t>
      </w:r>
      <w:proofErr w:type="spellStart"/>
      <w:r w:rsidRPr="001419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Херон</w:t>
      </w:r>
      <w:proofErr w:type="spellEnd"/>
      <w:r w:rsidRPr="001419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Именно им принадлежит идея обучения через, которое представлено как практическое обучение, поскольку оно подразумевает взаимодействие с содержанием/материалом во время исследования, а также сотрудничество между учениками в ходе изучения, чтобы вместе добраться до смысла. В 1971 году появляется «шкала </w:t>
      </w:r>
      <w:proofErr w:type="spellStart"/>
      <w:r w:rsidRPr="001419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Херона</w:t>
      </w:r>
      <w:proofErr w:type="spellEnd"/>
      <w:r w:rsidRPr="001419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», представленная в таблице 1.</w:t>
      </w:r>
    </w:p>
    <w:p w:rsidR="008D4253" w:rsidRPr="001419F2" w:rsidRDefault="008D4253" w:rsidP="00141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9F2">
        <w:rPr>
          <w:rFonts w:ascii="Times New Roman" w:hAnsi="Times New Roman" w:cs="Times New Roman"/>
          <w:sz w:val="24"/>
          <w:szCs w:val="24"/>
        </w:rPr>
        <w:t>Таблица 1.</w:t>
      </w:r>
    </w:p>
    <w:p w:rsidR="00577BA7" w:rsidRPr="001419F2" w:rsidRDefault="00577BA7" w:rsidP="00141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9F2">
        <w:rPr>
          <w:rFonts w:ascii="Times New Roman" w:hAnsi="Times New Roman" w:cs="Times New Roman"/>
          <w:sz w:val="24"/>
          <w:szCs w:val="24"/>
        </w:rPr>
        <w:t>Шкала для определения уровня исс</w:t>
      </w:r>
      <w:r w:rsidR="008D4253" w:rsidRPr="001419F2">
        <w:rPr>
          <w:rFonts w:ascii="Times New Roman" w:hAnsi="Times New Roman" w:cs="Times New Roman"/>
          <w:sz w:val="24"/>
          <w:szCs w:val="24"/>
        </w:rPr>
        <w:t xml:space="preserve">ледовательской деятельности </w:t>
      </w:r>
      <w:proofErr w:type="spellStart"/>
      <w:r w:rsidR="008D4253" w:rsidRPr="001419F2">
        <w:rPr>
          <w:rFonts w:ascii="Times New Roman" w:hAnsi="Times New Roman" w:cs="Times New Roman"/>
          <w:sz w:val="24"/>
          <w:szCs w:val="24"/>
        </w:rPr>
        <w:t>Хер</w:t>
      </w:r>
      <w:r w:rsidRPr="001419F2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="00D13A9A" w:rsidRPr="001419F2">
        <w:rPr>
          <w:rStyle w:val="a8"/>
          <w:rFonts w:ascii="Times New Roman" w:hAnsi="Times New Roman" w:cs="Times New Roman"/>
          <w:sz w:val="24"/>
          <w:szCs w:val="24"/>
        </w:rPr>
        <w:footnoteReference w:id="5"/>
      </w:r>
      <w:r w:rsidRPr="001419F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2094"/>
        <w:gridCol w:w="1818"/>
        <w:gridCol w:w="1864"/>
      </w:tblGrid>
      <w:tr w:rsidR="00577BA7" w:rsidRPr="001419F2" w:rsidTr="00825076">
        <w:tc>
          <w:tcPr>
            <w:tcW w:w="1814" w:type="dxa"/>
            <w:shd w:val="clear" w:color="auto" w:fill="C5E0B3" w:themeFill="accent6" w:themeFillTint="66"/>
          </w:tcPr>
          <w:p w:rsidR="00577BA7" w:rsidRPr="001419F2" w:rsidRDefault="00577BA7" w:rsidP="001419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F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94" w:type="dxa"/>
            <w:shd w:val="clear" w:color="auto" w:fill="C5E0B3" w:themeFill="accent6" w:themeFillTint="66"/>
          </w:tcPr>
          <w:p w:rsidR="00577BA7" w:rsidRPr="001419F2" w:rsidRDefault="00577BA7" w:rsidP="001419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F2">
              <w:rPr>
                <w:rFonts w:ascii="Times New Roman" w:hAnsi="Times New Roman" w:cs="Times New Roman"/>
                <w:sz w:val="24"/>
                <w:szCs w:val="24"/>
              </w:rPr>
              <w:t>Проблема/Вопрос</w:t>
            </w:r>
          </w:p>
        </w:tc>
        <w:tc>
          <w:tcPr>
            <w:tcW w:w="1818" w:type="dxa"/>
            <w:shd w:val="clear" w:color="auto" w:fill="C5E0B3" w:themeFill="accent6" w:themeFillTint="66"/>
          </w:tcPr>
          <w:p w:rsidR="00577BA7" w:rsidRPr="001419F2" w:rsidRDefault="00577BA7" w:rsidP="001419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F2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</w:p>
        </w:tc>
        <w:tc>
          <w:tcPr>
            <w:tcW w:w="1864" w:type="dxa"/>
            <w:shd w:val="clear" w:color="auto" w:fill="C5E0B3" w:themeFill="accent6" w:themeFillTint="66"/>
          </w:tcPr>
          <w:p w:rsidR="00577BA7" w:rsidRPr="001419F2" w:rsidRDefault="00577BA7" w:rsidP="001419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F2">
              <w:rPr>
                <w:rFonts w:ascii="Times New Roman" w:hAnsi="Times New Roman" w:cs="Times New Roman"/>
                <w:sz w:val="24"/>
                <w:szCs w:val="24"/>
              </w:rPr>
              <w:t>Решение/Ответ</w:t>
            </w:r>
          </w:p>
        </w:tc>
      </w:tr>
      <w:tr w:rsidR="00577BA7" w:rsidRPr="001419F2" w:rsidTr="00825076">
        <w:tc>
          <w:tcPr>
            <w:tcW w:w="1814" w:type="dxa"/>
            <w:shd w:val="clear" w:color="auto" w:fill="FFF2CC" w:themeFill="accent4" w:themeFillTint="33"/>
          </w:tcPr>
          <w:p w:rsidR="00577BA7" w:rsidRPr="001419F2" w:rsidRDefault="00577BA7" w:rsidP="001419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F2">
              <w:rPr>
                <w:rFonts w:ascii="Times New Roman" w:hAnsi="Times New Roman" w:cs="Times New Roman"/>
                <w:sz w:val="24"/>
                <w:szCs w:val="24"/>
              </w:rPr>
              <w:t>0 (Объяснение)</w:t>
            </w:r>
          </w:p>
        </w:tc>
        <w:tc>
          <w:tcPr>
            <w:tcW w:w="2094" w:type="dxa"/>
          </w:tcPr>
          <w:p w:rsidR="00577BA7" w:rsidRPr="001419F2" w:rsidRDefault="00577BA7" w:rsidP="001419F2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9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Даны учителем</w:t>
            </w:r>
          </w:p>
        </w:tc>
        <w:tc>
          <w:tcPr>
            <w:tcW w:w="1818" w:type="dxa"/>
          </w:tcPr>
          <w:p w:rsidR="00577BA7" w:rsidRPr="001419F2" w:rsidRDefault="00577BA7" w:rsidP="001419F2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9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Даны учителем</w:t>
            </w:r>
          </w:p>
        </w:tc>
        <w:tc>
          <w:tcPr>
            <w:tcW w:w="1864" w:type="dxa"/>
          </w:tcPr>
          <w:p w:rsidR="00577BA7" w:rsidRPr="001419F2" w:rsidRDefault="00577BA7" w:rsidP="001419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Даны учителем</w:t>
            </w:r>
          </w:p>
        </w:tc>
      </w:tr>
      <w:tr w:rsidR="00577BA7" w:rsidRPr="001419F2" w:rsidTr="00825076">
        <w:tc>
          <w:tcPr>
            <w:tcW w:w="1814" w:type="dxa"/>
            <w:shd w:val="clear" w:color="auto" w:fill="FFF2CC" w:themeFill="accent4" w:themeFillTint="33"/>
          </w:tcPr>
          <w:p w:rsidR="00577BA7" w:rsidRPr="001419F2" w:rsidRDefault="00577BA7" w:rsidP="001419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F2">
              <w:rPr>
                <w:rFonts w:ascii="Times New Roman" w:hAnsi="Times New Roman" w:cs="Times New Roman"/>
                <w:sz w:val="24"/>
                <w:szCs w:val="24"/>
              </w:rPr>
              <w:t xml:space="preserve">1 (Организованное учителем, </w:t>
            </w:r>
            <w:r w:rsidRPr="00141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выстроенное учителем)</w:t>
            </w:r>
          </w:p>
        </w:tc>
        <w:tc>
          <w:tcPr>
            <w:tcW w:w="2094" w:type="dxa"/>
          </w:tcPr>
          <w:p w:rsidR="00577BA7" w:rsidRPr="001419F2" w:rsidRDefault="00577BA7" w:rsidP="001419F2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9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Даны учителем</w:t>
            </w:r>
          </w:p>
        </w:tc>
        <w:tc>
          <w:tcPr>
            <w:tcW w:w="1818" w:type="dxa"/>
          </w:tcPr>
          <w:p w:rsidR="00577BA7" w:rsidRPr="001419F2" w:rsidRDefault="00577BA7" w:rsidP="001419F2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9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Даны учителем</w:t>
            </w:r>
          </w:p>
        </w:tc>
        <w:tc>
          <w:tcPr>
            <w:tcW w:w="1864" w:type="dxa"/>
          </w:tcPr>
          <w:p w:rsidR="00577BA7" w:rsidRPr="001419F2" w:rsidRDefault="00577BA7" w:rsidP="001419F2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419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Ищет ученик</w:t>
            </w:r>
          </w:p>
        </w:tc>
      </w:tr>
      <w:tr w:rsidR="00577BA7" w:rsidRPr="001419F2" w:rsidTr="00825076">
        <w:tc>
          <w:tcPr>
            <w:tcW w:w="1814" w:type="dxa"/>
            <w:shd w:val="clear" w:color="auto" w:fill="FFF2CC" w:themeFill="accent4" w:themeFillTint="33"/>
          </w:tcPr>
          <w:p w:rsidR="00577BA7" w:rsidRPr="001419F2" w:rsidRDefault="00577BA7" w:rsidP="001419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(Управляемое учителем)</w:t>
            </w:r>
          </w:p>
        </w:tc>
        <w:tc>
          <w:tcPr>
            <w:tcW w:w="2094" w:type="dxa"/>
          </w:tcPr>
          <w:p w:rsidR="00577BA7" w:rsidRPr="001419F2" w:rsidRDefault="00577BA7" w:rsidP="001419F2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9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Даны учителем</w:t>
            </w:r>
          </w:p>
        </w:tc>
        <w:tc>
          <w:tcPr>
            <w:tcW w:w="1818" w:type="dxa"/>
          </w:tcPr>
          <w:p w:rsidR="00577BA7" w:rsidRPr="001419F2" w:rsidRDefault="00577BA7" w:rsidP="001419F2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419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Ищет ученик</w:t>
            </w:r>
          </w:p>
        </w:tc>
        <w:tc>
          <w:tcPr>
            <w:tcW w:w="1864" w:type="dxa"/>
          </w:tcPr>
          <w:p w:rsidR="00577BA7" w:rsidRPr="001419F2" w:rsidRDefault="00577BA7" w:rsidP="001419F2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419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Ищет ученик</w:t>
            </w:r>
          </w:p>
        </w:tc>
      </w:tr>
      <w:tr w:rsidR="00577BA7" w:rsidRPr="001419F2" w:rsidTr="00825076">
        <w:tc>
          <w:tcPr>
            <w:tcW w:w="1814" w:type="dxa"/>
            <w:shd w:val="clear" w:color="auto" w:fill="FFF2CC" w:themeFill="accent4" w:themeFillTint="33"/>
          </w:tcPr>
          <w:p w:rsidR="00577BA7" w:rsidRPr="001419F2" w:rsidRDefault="00577BA7" w:rsidP="001419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F2">
              <w:rPr>
                <w:rFonts w:ascii="Times New Roman" w:hAnsi="Times New Roman" w:cs="Times New Roman"/>
                <w:sz w:val="24"/>
                <w:szCs w:val="24"/>
              </w:rPr>
              <w:t>3 (Открытое, свободное)</w:t>
            </w:r>
          </w:p>
        </w:tc>
        <w:tc>
          <w:tcPr>
            <w:tcW w:w="2094" w:type="dxa"/>
          </w:tcPr>
          <w:p w:rsidR="00577BA7" w:rsidRPr="001419F2" w:rsidRDefault="00577BA7" w:rsidP="001419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Ищет ученик</w:t>
            </w:r>
          </w:p>
        </w:tc>
        <w:tc>
          <w:tcPr>
            <w:tcW w:w="1818" w:type="dxa"/>
          </w:tcPr>
          <w:p w:rsidR="00577BA7" w:rsidRPr="001419F2" w:rsidRDefault="00577BA7" w:rsidP="001419F2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419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Ищет ученик</w:t>
            </w:r>
          </w:p>
        </w:tc>
        <w:tc>
          <w:tcPr>
            <w:tcW w:w="1864" w:type="dxa"/>
          </w:tcPr>
          <w:p w:rsidR="00577BA7" w:rsidRPr="001419F2" w:rsidRDefault="00577BA7" w:rsidP="001419F2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419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Ищет ученик</w:t>
            </w:r>
          </w:p>
        </w:tc>
      </w:tr>
    </w:tbl>
    <w:p w:rsidR="00577BA7" w:rsidRPr="001419F2" w:rsidRDefault="00577BA7" w:rsidP="00141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3A9A" w:rsidRPr="001419F2" w:rsidRDefault="00D13A9A" w:rsidP="00141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9F2">
        <w:rPr>
          <w:rFonts w:ascii="Times New Roman" w:hAnsi="Times New Roman" w:cs="Times New Roman"/>
          <w:sz w:val="24"/>
          <w:szCs w:val="24"/>
        </w:rPr>
        <w:t xml:space="preserve">При этом важно понимать, </w:t>
      </w:r>
      <w:r w:rsidR="003C38F6" w:rsidRPr="001419F2">
        <w:rPr>
          <w:rFonts w:ascii="Times New Roman" w:hAnsi="Times New Roman" w:cs="Times New Roman"/>
          <w:sz w:val="24"/>
          <w:szCs w:val="24"/>
        </w:rPr>
        <w:t>что эти уровни не противопоставляются на практике друг другу, они все используются в процессе обучения, но с разными целями.</w:t>
      </w:r>
    </w:p>
    <w:p w:rsidR="003C38F6" w:rsidRPr="001419F2" w:rsidRDefault="003C38F6" w:rsidP="00141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9F2">
        <w:rPr>
          <w:rFonts w:ascii="Times New Roman" w:hAnsi="Times New Roman" w:cs="Times New Roman"/>
          <w:sz w:val="24"/>
          <w:szCs w:val="24"/>
        </w:rPr>
        <w:t>Приведем пример:</w:t>
      </w:r>
    </w:p>
    <w:p w:rsidR="003C38F6" w:rsidRPr="00B927AF" w:rsidRDefault="003C38F6" w:rsidP="001419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Объяснение (</w:t>
      </w:r>
      <w:r w:rsidRPr="00B927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Confirmation</w:t>
      </w:r>
      <w:r w:rsidRPr="00B92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7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Inquiry</w:t>
      </w:r>
      <w:r w:rsidRPr="00141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B927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B9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задает вопрос, ставит задачу, дает ответ, объясняет способы ее решения. Задача учеников познакомиться со стратегиями критического мышления, позволяющими решать подобные задачи, познакомиться с тем или иным методом познания.</w:t>
      </w:r>
    </w:p>
    <w:p w:rsidR="003C38F6" w:rsidRPr="00B927AF" w:rsidRDefault="003C38F6" w:rsidP="001419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Организованное исследование (</w:t>
      </w:r>
      <w:r w:rsidRPr="00B927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Structured</w:t>
      </w:r>
      <w:r w:rsidRPr="00B92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7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Inquiry</w:t>
      </w:r>
      <w:r w:rsidRPr="00141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B927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B9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дает вопрос или задание, алгоритм решения. Ученики должны используя предложенный метод найти решение и его обосновать</w:t>
      </w:r>
      <w:r w:rsidRPr="00B927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38F6" w:rsidRPr="00B927AF" w:rsidRDefault="003C38F6" w:rsidP="001419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41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Управляемое исследование (</w:t>
      </w:r>
      <w:r w:rsidRPr="00B927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Guided</w:t>
      </w:r>
      <w:r w:rsidRPr="00B92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7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Inquiry</w:t>
      </w:r>
      <w:r w:rsidRPr="00141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B927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B9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дает ученикам задачу. Обычно для ее решения ученики объединяются в группы. </w:t>
      </w:r>
    </w:p>
    <w:p w:rsidR="003C38F6" w:rsidRPr="001419F2" w:rsidRDefault="003C38F6" w:rsidP="001419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Открытое</w:t>
      </w:r>
      <w:r w:rsidRPr="008C6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41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свободное</w:t>
      </w:r>
      <w:r w:rsidRPr="008C6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исследование</w:t>
      </w:r>
      <w:r w:rsidRPr="008C6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B927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Open</w:t>
      </w:r>
      <w:r w:rsidRPr="008C6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7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Inquiry</w:t>
      </w:r>
      <w:r w:rsidRPr="008C6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B927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8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8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r w:rsidRPr="008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8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8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</w:t>
      </w:r>
      <w:r w:rsidRPr="008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сами выдвигают задачу для решения, методы и в итоге представляют свои результаты для обсуждения и дальнейшего изучения.</w:t>
      </w:r>
    </w:p>
    <w:p w:rsidR="00606051" w:rsidRPr="001419F2" w:rsidRDefault="00606051" w:rsidP="001419F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уровни применения исследовательских навыков также называют типами исследовательской деятельности. Вне зависимости от того, какой тип использует в своей работе учитель, основная цель – развивать навыки учащихся анализировать, синтезировать и оценивать информацию – индикаторы развития навыков мышления высокого порядка в соответствии с таксономией </w:t>
      </w:r>
      <w:proofErr w:type="spellStart"/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Блума</w:t>
      </w:r>
      <w:proofErr w:type="spellEnd"/>
      <w:r w:rsidR="001419F2" w:rsidRPr="001419F2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"/>
      </w:r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(Рисунок 2).</w:t>
      </w:r>
    </w:p>
    <w:p w:rsidR="00606051" w:rsidRPr="001419F2" w:rsidRDefault="00606051" w:rsidP="001419F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Рисунок</w:t>
      </w:r>
      <w:r w:rsidRPr="00141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</w:t>
      </w:r>
      <w:r w:rsidRPr="001419F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</w:p>
    <w:p w:rsidR="00606051" w:rsidRPr="001419F2" w:rsidRDefault="00606051" w:rsidP="001419F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419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124E3B" wp14:editId="65502C23">
            <wp:extent cx="3933825" cy="2000250"/>
            <wp:effectExtent l="0" t="0" r="9525" b="0"/>
            <wp:docPr id="12" name="Рисунок 1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051" w:rsidRPr="001419F2" w:rsidRDefault="000D65C0" w:rsidP="001419F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Учителям, которые живут в цифровом пространстве, будет интересно познакомится с </w:t>
      </w:r>
      <w:proofErr w:type="spellStart"/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Падагогическим</w:t>
      </w:r>
      <w:proofErr w:type="spellEnd"/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Колесом (</w:t>
      </w:r>
      <w:proofErr w:type="spellStart"/>
      <w:r w:rsidRPr="00141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Padagogy</w:t>
      </w:r>
      <w:proofErr w:type="spellEnd"/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Wheel</w:t>
      </w:r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Аллана</w:t>
      </w:r>
      <w:proofErr w:type="spellEnd"/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Кара, где он представил на диаграмме, какие приложения и программы развивают тот или иной уровень таксономии.</w:t>
      </w:r>
    </w:p>
    <w:p w:rsidR="001419F2" w:rsidRPr="001419F2" w:rsidRDefault="001419F2" w:rsidP="001419F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репрезентация когнитивной таксономии представлена на рисунке 3, здесь же можно увидеть некоторые примеры заданий на развитие тех или иных умений.</w:t>
      </w:r>
    </w:p>
    <w:p w:rsidR="001419F2" w:rsidRPr="001419F2" w:rsidRDefault="001419F2" w:rsidP="001419F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3.</w:t>
      </w:r>
    </w:p>
    <w:p w:rsidR="001419F2" w:rsidRPr="001419F2" w:rsidRDefault="001419F2" w:rsidP="001419F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9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93739" cy="4083685"/>
            <wp:effectExtent l="0" t="0" r="0" b="0"/>
            <wp:docPr id="13" name="Рисунок 13" descr="https://upload.wikimedia.org/wikipedia/commons/thumb/2/24/Blooms_rose.svg/800px-Blooms_ros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pload.wikimedia.org/wikipedia/commons/thumb/2/24/Blooms_rose.svg/800px-Blooms_rose.sv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041" cy="409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5C0" w:rsidRPr="001419F2" w:rsidRDefault="000D65C0" w:rsidP="001419F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Примечательно также, что в педагогике чаще всего идет отсылка к когнитивной пирамиде, представленной на рисунке 2, мало кто упоминает еще об одной таксономии, созданной Б. </w:t>
      </w:r>
      <w:proofErr w:type="spellStart"/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Блумом</w:t>
      </w:r>
      <w:proofErr w:type="spellEnd"/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в свете практик программы международного </w:t>
      </w:r>
      <w:proofErr w:type="spellStart"/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важна – таксономия, затрагивающая аффективную область обучения.</w:t>
      </w:r>
    </w:p>
    <w:p w:rsidR="000D65C0" w:rsidRPr="000D65C0" w:rsidRDefault="000D65C0" w:rsidP="001419F2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все, что связано с чувствами, эмоциями и настроением в процессе обучения.</w:t>
      </w:r>
    </w:p>
    <w:p w:rsidR="000D65C0" w:rsidRPr="000D65C0" w:rsidRDefault="000D65C0" w:rsidP="001419F2">
      <w:pPr>
        <w:numPr>
          <w:ilvl w:val="0"/>
          <w:numId w:val="20"/>
        </w:numPr>
        <w:shd w:val="clear" w:color="auto" w:fill="FFFFFF"/>
        <w:spacing w:after="0" w:line="36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Восприятие</w:t>
      </w:r>
      <w:r w:rsidRPr="000D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Осведомленность, готовность услышать, избирательное внимание. </w:t>
      </w:r>
      <w:r w:rsidRPr="00141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Пример</w:t>
      </w:r>
      <w:r w:rsidRPr="000D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слушать других с уважением. </w:t>
      </w:r>
      <w:r w:rsidRPr="00141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Ключевые слова</w:t>
      </w:r>
      <w:r w:rsidRPr="000D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признание, просьба, внимательность, вежливость, понимать, слушать.</w:t>
      </w:r>
    </w:p>
    <w:p w:rsidR="000D65C0" w:rsidRPr="000D65C0" w:rsidRDefault="000D65C0" w:rsidP="001419F2">
      <w:pPr>
        <w:numPr>
          <w:ilvl w:val="0"/>
          <w:numId w:val="20"/>
        </w:numPr>
        <w:shd w:val="clear" w:color="auto" w:fill="FFFFFF"/>
        <w:spacing w:after="0" w:line="36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Реагирование</w:t>
      </w:r>
      <w:r w:rsidRPr="000D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Активное участие со стороны обучающихся, реакция на определенное явление, готовность отвечать и </w:t>
      </w:r>
      <w:hyperlink r:id="rId14" w:history="1">
        <w:r w:rsidRPr="001419F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мотивация</w:t>
        </w:r>
      </w:hyperlink>
      <w:r w:rsidRPr="000D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41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Примеры</w:t>
      </w:r>
      <w:r w:rsidRPr="000D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участие в обсуждениях в классе, создание презентаций. </w:t>
      </w:r>
      <w:r w:rsidRPr="00141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Ключевые слова</w:t>
      </w:r>
      <w:r w:rsidRPr="000D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ответить, помочь, выполнить, приветствовать, помогать, исполнить, рассказать.</w:t>
      </w:r>
    </w:p>
    <w:p w:rsidR="000D65C0" w:rsidRPr="000D65C0" w:rsidRDefault="000D65C0" w:rsidP="001419F2">
      <w:pPr>
        <w:numPr>
          <w:ilvl w:val="0"/>
          <w:numId w:val="20"/>
        </w:numPr>
        <w:shd w:val="clear" w:color="auto" w:fill="FFFFFF"/>
        <w:spacing w:after="0" w:line="36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Усвоение ценностей</w:t>
      </w:r>
      <w:r w:rsidRPr="000D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Ценность, которую человек придает конкретному явлению, объекту, человеку или событию. Варьируется от простого принятия до более сложных состояний. </w:t>
      </w:r>
      <w:r w:rsidRPr="00141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Примеры</w:t>
      </w:r>
      <w:r w:rsidRPr="000D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демонстрация веры в демократический процесс, чувствительность к индивидуальным и культурным различиям (ценностное разнообразие). Учение является обязательным, придерживается своего слова, предлагает план социального оздоровления. </w:t>
      </w:r>
      <w:r w:rsidRPr="00141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Ключевые слова</w:t>
      </w:r>
      <w:r w:rsidRPr="000D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ценить, беречь, демонстрация, инициировать, приглашать, присоединяться, уважать, делиться.</w:t>
      </w:r>
    </w:p>
    <w:p w:rsidR="000D65C0" w:rsidRPr="000D65C0" w:rsidRDefault="000D65C0" w:rsidP="001419F2">
      <w:pPr>
        <w:numPr>
          <w:ilvl w:val="0"/>
          <w:numId w:val="20"/>
        </w:numPr>
        <w:shd w:val="clear" w:color="auto" w:fill="FFFFFF"/>
        <w:spacing w:after="0" w:line="36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Организация ценностей</w:t>
      </w:r>
      <w:r w:rsidRPr="000D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Ученик организовывает ценности в приоритеты, противопоставляя различные ценности, разрешая конфликты между ними и создавая уникальную систему ценностей. Акцент делается на сравнении, соотношении и синтезе ценностей. </w:t>
      </w:r>
      <w:r w:rsidRPr="00141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Примеры</w:t>
      </w:r>
      <w:r w:rsidRPr="000D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ученик признает необходимость обеспечения баланса между свободой и ответственным поведением, принимает профессиональные этические нормы. </w:t>
      </w:r>
      <w:r w:rsidRPr="00141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Ключевые слова</w:t>
      </w:r>
      <w:r w:rsidRPr="000D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связать, сравнить, синтезировать.</w:t>
      </w:r>
    </w:p>
    <w:p w:rsidR="000D65C0" w:rsidRDefault="000D65C0" w:rsidP="001419F2">
      <w:pPr>
        <w:numPr>
          <w:ilvl w:val="0"/>
          <w:numId w:val="20"/>
        </w:numPr>
        <w:shd w:val="clear" w:color="auto" w:fill="FFFFFF"/>
        <w:spacing w:after="0" w:line="36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1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Интернализация</w:t>
      </w:r>
      <w:proofErr w:type="spellEnd"/>
      <w:r w:rsidRPr="00141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ценностей</w:t>
      </w:r>
      <w:r w:rsidRPr="000D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Ученик имеет систему ценностей, которая контролирует его поведение. Такое поведение является повсеместным, последовательным, предсказуемым. </w:t>
      </w:r>
      <w:r w:rsidRPr="00141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Пример</w:t>
      </w:r>
      <w:r w:rsidRPr="000D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ученик демонстрирует уверенность в себе, когда работает самостоятельно. Использует объективный подход в решении проблем. Выявляет профессиональную приверженность этической практике на ежедневной основе. Пересматривает суждения и изменяет свое поведение в свете новых доказательств. Ценит людей такими, какие они есть. </w:t>
      </w:r>
      <w:r w:rsidRPr="00141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Ключевые слова</w:t>
      </w:r>
      <w:r w:rsidRPr="000D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D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действовать, различать, модифицировать, выполнять, задавать вопросы, пересматривать, решать, проверять.</w:t>
      </w:r>
    </w:p>
    <w:p w:rsidR="00A77FA5" w:rsidRPr="000D65C0" w:rsidRDefault="00A77FA5" w:rsidP="00A77FA5">
      <w:pPr>
        <w:shd w:val="clear" w:color="auto" w:fill="FFFFFF"/>
        <w:spacing w:after="0" w:line="36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Эта классификация несомненно поможет при создании заданий, направленных на развитие качеств Портрета Ученика Международного </w:t>
      </w:r>
      <w:proofErr w:type="spellStart"/>
      <w:r w:rsidRPr="00A77F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бакалавриата</w:t>
      </w:r>
      <w:proofErr w:type="spellEnd"/>
      <w:r w:rsidRPr="00A77F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A77F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IB</w:t>
      </w:r>
      <w:r w:rsidRPr="00A77F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77F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Learner</w:t>
      </w:r>
      <w:r w:rsidRPr="00A77F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77F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Profile</w:t>
      </w:r>
      <w:r w:rsidRPr="00A77F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может быть использована при работе с центральными идеями, которые направлены на качественное изменение отношений, установок и развитие личности учащегося.</w:t>
      </w:r>
    </w:p>
    <w:p w:rsidR="00D13A9A" w:rsidRPr="00D13A9A" w:rsidRDefault="001419F2" w:rsidP="001419F2">
      <w:p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19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Вернемся к исследовательскому подходу, обозначим к</w:t>
      </w:r>
      <w:r w:rsidR="00D13A9A" w:rsidRPr="00D13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огнитивные процессы, в которых люди участвуют во время обучения через открытия включают в себя следующие</w:t>
      </w:r>
      <w:r w:rsidR="00D13A9A" w:rsidRPr="001419F2"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ootnoteReference w:id="7"/>
      </w:r>
      <w:r w:rsidR="00D13A9A" w:rsidRPr="00D13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D13A9A" w:rsidRPr="001419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D13A9A" w:rsidRPr="00D13A9A" w:rsidRDefault="00D13A9A" w:rsidP="001419F2">
      <w:pPr>
        <w:numPr>
          <w:ilvl w:val="0"/>
          <w:numId w:val="19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3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Постановка собственных вопросов </w:t>
      </w:r>
    </w:p>
    <w:p w:rsidR="00D13A9A" w:rsidRPr="00D13A9A" w:rsidRDefault="00D13A9A" w:rsidP="001419F2">
      <w:pPr>
        <w:numPr>
          <w:ilvl w:val="0"/>
          <w:numId w:val="19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3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Сбор доказательств, которые помогают ответить на вопрос(ы)</w:t>
      </w:r>
    </w:p>
    <w:p w:rsidR="00D13A9A" w:rsidRPr="00D13A9A" w:rsidRDefault="00D13A9A" w:rsidP="001419F2">
      <w:pPr>
        <w:numPr>
          <w:ilvl w:val="0"/>
          <w:numId w:val="19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3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Разъяснение собранных доказательств</w:t>
      </w:r>
    </w:p>
    <w:p w:rsidR="00D13A9A" w:rsidRPr="00D13A9A" w:rsidRDefault="00D13A9A" w:rsidP="001419F2">
      <w:pPr>
        <w:numPr>
          <w:ilvl w:val="0"/>
          <w:numId w:val="19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13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Сязывание</w:t>
      </w:r>
      <w:proofErr w:type="spellEnd"/>
      <w:r w:rsidRPr="00D13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объяснений со знаниями, к которым они пришли в ходе исследовательского процесса</w:t>
      </w:r>
    </w:p>
    <w:p w:rsidR="00D13A9A" w:rsidRPr="00D13A9A" w:rsidRDefault="00D13A9A" w:rsidP="001419F2">
      <w:pPr>
        <w:numPr>
          <w:ilvl w:val="0"/>
          <w:numId w:val="19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3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аргументов и обоснований того, почему объяснение валидно</w:t>
      </w:r>
    </w:p>
    <w:p w:rsidR="00D13A9A" w:rsidRDefault="00D13A9A" w:rsidP="001419F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3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через открытие включает в себя постановку вопросов, умение замечать детали, проверку того, какая информация уже усвоена, разработку методов проведения экспериментов, разработку инструментов для сбора данных, сбора, анализа и интерпретации данных, указание возможных объяснений, предсказания для будущих исследований.</w:t>
      </w:r>
    </w:p>
    <w:p w:rsidR="001419F2" w:rsidRDefault="00A77FA5" w:rsidP="001419F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точки зрения ученика,</w:t>
      </w:r>
      <w:r w:rsidR="00173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исследовательский подход строится вокруг открытого вопроса или задачи.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Учащиеся должны посредством рассуждения решить задачу, опираясь на факты, используя творческие способности и критическое мышление, решить задачу, прийти к выводу, который потом могут представить и защитить.</w:t>
      </w:r>
    </w:p>
    <w:p w:rsidR="00A77FA5" w:rsidRDefault="00A77FA5" w:rsidP="001419F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точки зрения учителя, исследовательский подход ставит перед собой целью помочь ученику выйти за рамки любопытства в область критического мышления и понимания. Учитель побуждает учеников задавать вопросы, находить на них ответы путем исследования</w:t>
      </w:r>
      <w:r w:rsidR="005F5C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объясняет с чего начинается процесс познания, как он строится.</w:t>
      </w:r>
    </w:p>
    <w:p w:rsidR="005F5C62" w:rsidRPr="005F5C62" w:rsidRDefault="005F5C62" w:rsidP="001419F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Такие методы как наблюдение, анализ документов и сессии вопросов и ответов </w:t>
      </w:r>
      <w:r w:rsidRPr="005F5C6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927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question</w:t>
      </w:r>
      <w:r w:rsidRPr="00B927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27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B927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27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B9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7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sessions</w:t>
      </w:r>
      <w:r w:rsidRPr="005F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использованы учителем для проведения</w:t>
      </w:r>
    </w:p>
    <w:p w:rsidR="00B927AF" w:rsidRPr="00B927AF" w:rsidRDefault="005F5C62" w:rsidP="00141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lastRenderedPageBreak/>
        <w:t>Тематического исследования (С</w:t>
      </w:r>
      <w:proofErr w:type="spellStart"/>
      <w:r>
        <w:rPr>
          <w:rFonts w:ascii="Times New Roman" w:eastAsia="Times New Roman" w:hAnsi="Times New Roman" w:cs="Times New Roman"/>
          <w:color w:val="6B6B6B"/>
          <w:sz w:val="24"/>
          <w:szCs w:val="24"/>
          <w:lang w:val="en-US" w:eastAsia="ru-RU"/>
        </w:rPr>
        <w:t>ase</w:t>
      </w:r>
      <w:proofErr w:type="spellEnd"/>
      <w:r>
        <w:rPr>
          <w:rFonts w:ascii="Times New Roman" w:eastAsia="Times New Roman" w:hAnsi="Times New Roman" w:cs="Times New Roman"/>
          <w:color w:val="6B6B6B"/>
          <w:sz w:val="24"/>
          <w:szCs w:val="24"/>
          <w:lang w:val="en-US" w:eastAsia="ru-RU"/>
        </w:rPr>
        <w:t xml:space="preserve"> study)</w:t>
      </w:r>
    </w:p>
    <w:p w:rsidR="00B927AF" w:rsidRPr="00B927AF" w:rsidRDefault="005F5C62" w:rsidP="00141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Групповых проектов (</w:t>
      </w:r>
      <w:proofErr w:type="spellStart"/>
      <w:r w:rsidR="00B927AF" w:rsidRPr="00B927AF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Group</w:t>
      </w:r>
      <w:proofErr w:type="spellEnd"/>
      <w:r w:rsidR="00B927AF" w:rsidRPr="00B927AF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 </w:t>
      </w:r>
      <w:proofErr w:type="spellStart"/>
      <w:r w:rsidR="00B927AF" w:rsidRPr="00B927AF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projects</w:t>
      </w:r>
      <w:proofErr w:type="spellEnd"/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)</w:t>
      </w:r>
    </w:p>
    <w:p w:rsidR="00B927AF" w:rsidRPr="00B927AF" w:rsidRDefault="005F5C62" w:rsidP="00141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Исследовательских проектов (</w:t>
      </w:r>
      <w:proofErr w:type="spellStart"/>
      <w:r w:rsidR="00B927AF" w:rsidRPr="00B927AF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Research</w:t>
      </w:r>
      <w:proofErr w:type="spellEnd"/>
      <w:r w:rsidR="00B927AF" w:rsidRPr="00B927AF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 </w:t>
      </w:r>
      <w:proofErr w:type="spellStart"/>
      <w:r w:rsidR="00B927AF" w:rsidRPr="00B927AF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projects</w:t>
      </w:r>
      <w:proofErr w:type="spellEnd"/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)</w:t>
      </w:r>
    </w:p>
    <w:p w:rsidR="00B927AF" w:rsidRPr="00B927AF" w:rsidRDefault="005F5C62" w:rsidP="00141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Работы</w:t>
      </w:r>
      <w:r w:rsidRPr="005F5C62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вне</w:t>
      </w:r>
      <w:r w:rsidRPr="005F5C62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школы</w:t>
      </w:r>
      <w:r w:rsidRPr="005F5C62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 (</w:t>
      </w:r>
      <w:r w:rsidR="00B927AF" w:rsidRPr="00B927AF">
        <w:rPr>
          <w:rFonts w:ascii="Times New Roman" w:eastAsia="Times New Roman" w:hAnsi="Times New Roman" w:cs="Times New Roman"/>
          <w:color w:val="6B6B6B"/>
          <w:sz w:val="24"/>
          <w:szCs w:val="24"/>
          <w:lang w:val="en-US" w:eastAsia="ru-RU"/>
        </w:rPr>
        <w:t>Field</w:t>
      </w:r>
      <w:r w:rsidR="00B927AF" w:rsidRPr="00B927AF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 </w:t>
      </w:r>
      <w:r w:rsidR="00B927AF" w:rsidRPr="00B927AF">
        <w:rPr>
          <w:rFonts w:ascii="Times New Roman" w:eastAsia="Times New Roman" w:hAnsi="Times New Roman" w:cs="Times New Roman"/>
          <w:color w:val="6B6B6B"/>
          <w:sz w:val="24"/>
          <w:szCs w:val="24"/>
          <w:lang w:val="en-US" w:eastAsia="ru-RU"/>
        </w:rPr>
        <w:t>work</w:t>
      </w:r>
      <w:r w:rsidRPr="005F5C62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)</w:t>
      </w:r>
    </w:p>
    <w:p w:rsidR="005F5C62" w:rsidRPr="005F5C62" w:rsidRDefault="005F5C62" w:rsidP="00121087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val="en-US" w:eastAsia="ru-RU"/>
        </w:rPr>
      </w:pPr>
      <w:r w:rsidRPr="005F5C62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Индивидуальных исследований, которые предлагают ученики </w:t>
      </w:r>
    </w:p>
    <w:p w:rsidR="005F5C62" w:rsidRDefault="005F5C62" w:rsidP="005F5C62">
      <w:pPr>
        <w:shd w:val="clear" w:color="auto" w:fill="FFFFFF"/>
        <w:spacing w:before="100" w:beforeAutospacing="1" w:after="150" w:afterAutospacing="1" w:line="360" w:lineRule="auto"/>
        <w:ind w:left="720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Вне зависимости от типа и вида исследовательской работы учителю необходимо давать ученикам возможность самим разработать методы достижения результата.</w:t>
      </w:r>
    </w:p>
    <w:p w:rsidR="005F5C62" w:rsidRDefault="00516003" w:rsidP="005F5C62">
      <w:pPr>
        <w:shd w:val="clear" w:color="auto" w:fill="FFFFFF"/>
        <w:spacing w:before="100" w:beforeAutospacing="1" w:after="150" w:afterAutospacing="1" w:line="360" w:lineRule="auto"/>
        <w:ind w:left="720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Преимущества исследовательского подхода.</w:t>
      </w:r>
    </w:p>
    <w:p w:rsidR="00516003" w:rsidRPr="00277475" w:rsidRDefault="00277475" w:rsidP="00277475">
      <w:pPr>
        <w:pStyle w:val="ab"/>
        <w:numPr>
          <w:ilvl w:val="1"/>
          <w:numId w:val="4"/>
        </w:num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И</w:t>
      </w:r>
      <w:r w:rsidR="00516003" w:rsidRPr="00277475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спользование этого подхода помогает создать дополнительную мотивации при изучении программного материала. Когда что-то </w:t>
      </w:r>
      <w:r w:rsidR="002A0687" w:rsidRPr="00277475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будит наше любопытство, в зоне гипоталамуса возникает дополнительная активность, а эта область мозга отвечает за долговременную память.</w:t>
      </w:r>
    </w:p>
    <w:p w:rsidR="002A0687" w:rsidRPr="00277475" w:rsidRDefault="00277475" w:rsidP="00277475">
      <w:pPr>
        <w:pStyle w:val="ab"/>
        <w:numPr>
          <w:ilvl w:val="1"/>
          <w:numId w:val="4"/>
        </w:num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Е</w:t>
      </w:r>
      <w:r w:rsidR="002A0687" w:rsidRPr="00277475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сли вы начинаете с день с задания, требующего самостоятельного исследования от учеников, это поможет им настроиться на более легкое усвоение информации в течение дня. Например, если вы начнете день с видео или прочитаете статью, задав вопрос, требующий развернутого ответа, который ученики могут осудить в группе или поразмыслить самостоятельно, то это поможет</w:t>
      </w:r>
      <w:r w:rsidR="003D1C42" w:rsidRPr="00277475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 создать интеллектуальный, любознательный настрой на весь день.</w:t>
      </w:r>
    </w:p>
    <w:p w:rsidR="003D1C42" w:rsidRPr="00277475" w:rsidRDefault="00277475" w:rsidP="00277475">
      <w:pPr>
        <w:pStyle w:val="ab"/>
        <w:numPr>
          <w:ilvl w:val="1"/>
          <w:numId w:val="4"/>
        </w:num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И</w:t>
      </w:r>
      <w:r w:rsidR="003D1C42" w:rsidRPr="00277475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сследовательский подход помогает глубже понять содержание. Через исследовательскую деятельность учащиеся воспринимают информацию на другом уровне – не просто как правило, идею или формулу. Они начинают понимать, как появилась та или иная идея, как она работает, как ее применить на практике.</w:t>
      </w: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 </w:t>
      </w:r>
      <w:r w:rsidR="003D1C42" w:rsidRPr="00277475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Когда учащиеся задают вопросы, решают их своими способами, они берут ответственность за свое познание. На этом же принципе строится экспериментальное обучение, которое ставит ученика в центр процесса обучения.</w:t>
      </w:r>
    </w:p>
    <w:p w:rsidR="003D1C42" w:rsidRDefault="00277475" w:rsidP="00277475">
      <w:pPr>
        <w:pStyle w:val="ab"/>
        <w:numPr>
          <w:ilvl w:val="1"/>
          <w:numId w:val="4"/>
        </w:num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С</w:t>
      </w:r>
      <w:r w:rsidRPr="00277475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читается, что те дети, которые учатся не для того, чтобы получить одобрение родителей и учителей, а для того, чтобы испытать радость открытия, формируют у себя совершенно новую модель мышления</w:t>
      </w:r>
      <w:r>
        <w:rPr>
          <w:rStyle w:val="a8"/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footnoteReference w:id="8"/>
      </w:r>
      <w:r w:rsidRPr="00277475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. </w:t>
      </w:r>
    </w:p>
    <w:p w:rsidR="00277475" w:rsidRDefault="00C10D5F" w:rsidP="00277475">
      <w:pPr>
        <w:pStyle w:val="ab"/>
        <w:numPr>
          <w:ilvl w:val="1"/>
          <w:numId w:val="4"/>
        </w:num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lastRenderedPageBreak/>
        <w:t xml:space="preserve">Исследовательский подход формирует у учеников способность к инициативе и самостоятельности. Это очевидно, если рассмотреть стадии исследовательской деятельности – постановка вопросов, изучение, обсуждение, совместная работа, выводы. Все </w:t>
      </w:r>
      <w:proofErr w:type="gramStart"/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эти навыки</w:t>
      </w:r>
      <w:proofErr w:type="gramEnd"/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 учащиеся могут развить и с помощью других методов, но считается, что самостоятельное исследование и анализ результатов ускоряют этот процесс.</w:t>
      </w:r>
    </w:p>
    <w:p w:rsidR="004E5D58" w:rsidRDefault="00C10D5F" w:rsidP="00277475">
      <w:pPr>
        <w:pStyle w:val="ab"/>
        <w:numPr>
          <w:ilvl w:val="1"/>
          <w:numId w:val="4"/>
        </w:num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Этот подход можно использовать в любом классе, поскольку позволяет</w:t>
      </w:r>
    </w:p>
    <w:p w:rsidR="00C10D5F" w:rsidRDefault="00C10D5F" w:rsidP="004E5D58">
      <w:pPr>
        <w:pStyle w:val="ab"/>
        <w:numPr>
          <w:ilvl w:val="0"/>
          <w:numId w:val="21"/>
        </w:num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адаптировать скорость и содержания изучаемого материала, </w:t>
      </w:r>
    </w:p>
    <w:p w:rsidR="004E5D58" w:rsidRDefault="004E5D58" w:rsidP="004E5D58">
      <w:pPr>
        <w:pStyle w:val="ab"/>
        <w:numPr>
          <w:ilvl w:val="0"/>
          <w:numId w:val="21"/>
        </w:num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привлекателен для тех, кому с трудом дается обучение посредством традиционных методов,</w:t>
      </w:r>
    </w:p>
    <w:p w:rsidR="004E5D58" w:rsidRDefault="004E5D58" w:rsidP="004E5D58">
      <w:pPr>
        <w:pStyle w:val="ab"/>
        <w:numPr>
          <w:ilvl w:val="0"/>
          <w:numId w:val="21"/>
        </w:num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использовать разнообразные задания и стратегии работы с информацией,</w:t>
      </w:r>
    </w:p>
    <w:p w:rsidR="004E5D58" w:rsidRDefault="004E5D58" w:rsidP="004E5D58">
      <w:pPr>
        <w:pStyle w:val="ab"/>
        <w:numPr>
          <w:ilvl w:val="0"/>
          <w:numId w:val="21"/>
        </w:num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углублять знания по любой теме или понятию, с условием, что учащимся они интересны.</w:t>
      </w:r>
    </w:p>
    <w:p w:rsidR="004E5D58" w:rsidRPr="002A7C28" w:rsidRDefault="004E5D58" w:rsidP="002A7C28">
      <w:pPr>
        <w:pStyle w:val="ab"/>
        <w:numPr>
          <w:ilvl w:val="1"/>
          <w:numId w:val="4"/>
        </w:num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 w:rsidRPr="002A7C28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Исследовательский подход </w:t>
      </w:r>
      <w:r w:rsidR="002A7C28" w:rsidRPr="002A7C28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п</w:t>
      </w:r>
      <w:r w:rsidRPr="002A7C28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редполагает диффере</w:t>
      </w:r>
      <w:r w:rsidR="002A7C28" w:rsidRPr="002A7C28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нцированный подход в обучении, он дает учителю шанс использовать разнообразные стратегии, в соответствии с индивидуальными особенностями обучающегося.</w:t>
      </w:r>
      <w:r w:rsidR="002A7C28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 Ученики могут работать в группе, самостоятельно, кроме того, возможен выбор между источником информации – текст, аудио, видео или предметы и природные материалы.</w:t>
      </w:r>
    </w:p>
    <w:p w:rsidR="002A7C28" w:rsidRDefault="002A7C28" w:rsidP="002A7C28">
      <w:pPr>
        <w:pStyle w:val="ab"/>
        <w:shd w:val="clear" w:color="auto" w:fill="FFFFFF"/>
        <w:spacing w:before="100" w:beforeAutospacing="1" w:after="150" w:afterAutospacing="1" w:line="360" w:lineRule="auto"/>
        <w:ind w:left="1440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</w:p>
    <w:p w:rsidR="002A7C28" w:rsidRDefault="002A7C28" w:rsidP="002A7C28">
      <w:p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Стратегии и примеры заданий.</w:t>
      </w:r>
    </w:p>
    <w:p w:rsidR="002A7C28" w:rsidRDefault="002A7C28" w:rsidP="002A7C28">
      <w:p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Поскольку учащиеся могут быть </w:t>
      </w:r>
      <w:r w:rsidR="00DA675D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незнакомы с правилами исследовательской работы, покажите им пример, объясните как высказать свое мнение, развивать идеи, предлагаемые другими, задавать конструктивны вопросы себе и другим участникам дискуссии, изучать </w:t>
      </w:r>
      <w:proofErr w:type="gramStart"/>
      <w:r w:rsidR="00DA675D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идеи  и</w:t>
      </w:r>
      <w:proofErr w:type="gramEnd"/>
      <w:r w:rsidR="00DA675D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 проверять гипотезы.</w:t>
      </w:r>
    </w:p>
    <w:p w:rsidR="00BF2A10" w:rsidRDefault="00BF2A10" w:rsidP="002A7C28">
      <w:p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Например, озвучив какую-либо идею, проведите мозговой штурм, выстраивая логические цепочки и развивая их.</w:t>
      </w:r>
    </w:p>
    <w:p w:rsidR="00BF2A10" w:rsidRDefault="00BF2A10" w:rsidP="002A7C28">
      <w:p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Удивляйте учеников. Это можно сделать, показав </w:t>
      </w:r>
      <w:proofErr w:type="gramStart"/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видео-фрагмент</w:t>
      </w:r>
      <w:proofErr w:type="gramEnd"/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, раздав математическую формулу, математическую задачу, текст или статью.</w:t>
      </w:r>
    </w:p>
    <w:p w:rsidR="006C2ACF" w:rsidRDefault="006C2ACF" w:rsidP="002A7C28">
      <w:p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lastRenderedPageBreak/>
        <w:t>Важно, чтобы этот материал соотносился с интересами учеников, вызывал желание узнать об этом больше. После того, как он познакомились с содержанием, разделите их на небольшие группы, попросите их ответить на открытый вопрос. Например, можно попросить их определить, как и где применяется эта формула. Исследования показывают, что те выводы, к которым они придут, сохранятся в памяти и после выполнения задания.</w:t>
      </w:r>
    </w:p>
    <w:p w:rsidR="006C2ACF" w:rsidRDefault="006C2ACF" w:rsidP="002A7C28">
      <w:p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Организованное или управляемое исследование может быть использовано при изучении тех тем, которые традиционно вызывают сложности при изучении, поскольку позволяют ученику самостоятельно выбрать способ получения и обработки информации.</w:t>
      </w:r>
      <w:r w:rsidR="007563FB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 После того, как ученик самостоятельно попытался разобраться с материалом, можно организовать дискуссию, заполнить пробелы в понимании.</w:t>
      </w:r>
    </w:p>
    <w:p w:rsidR="007563FB" w:rsidRDefault="007563FB" w:rsidP="002A7C28">
      <w:p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Необходимо понимать, что иногда исследовательский метод неэффективен. Представим, что вам нужно ввести понятие «отрицательные целые числа» и обсудить его применение на практике. Если вы попросите учеников прочитать текст, скорее всего это будет потерей времени и вызовет замешательство у некоторых учеников. Но</w:t>
      </w:r>
      <w:r w:rsidRPr="007563FB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если</w:t>
      </w:r>
      <w:r w:rsidRPr="007563FB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вы</w:t>
      </w:r>
      <w:r w:rsidRPr="007563FB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дадите</w:t>
      </w:r>
      <w:r w:rsidRPr="007563FB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краткое объяснение понятия, то позволите большую часть урока провести за изучением того, как оно работает в реальной жизни.</w:t>
      </w:r>
    </w:p>
    <w:p w:rsidR="007563FB" w:rsidRDefault="007563FB" w:rsidP="002A7C28">
      <w:p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Не нужно ждать идеального вопроса. Бывает так, что вопрос ученика вызывает любопытство у одноклассников, побуждая учителя подготовить задание исследовательского характера. </w:t>
      </w:r>
      <w:r w:rsidR="007C5DDA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Но это случается не так часто. С большей вероятностью, учителю нужно быть готовым самому инициировать исследование, используя вопрос, который:</w:t>
      </w:r>
    </w:p>
    <w:p w:rsidR="007C5DDA" w:rsidRDefault="007C5DDA" w:rsidP="007C5DDA">
      <w:pPr>
        <w:pStyle w:val="ab"/>
        <w:numPr>
          <w:ilvl w:val="0"/>
          <w:numId w:val="22"/>
        </w:num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Отражает содержание обязательной учебной программы;</w:t>
      </w:r>
    </w:p>
    <w:p w:rsidR="007C5DDA" w:rsidRDefault="007C5DDA" w:rsidP="007C5DDA">
      <w:pPr>
        <w:pStyle w:val="ab"/>
        <w:numPr>
          <w:ilvl w:val="0"/>
          <w:numId w:val="22"/>
        </w:num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Увлекал учащихся ранее (по опыту работы в прошлом году);</w:t>
      </w:r>
    </w:p>
    <w:p w:rsidR="007C5DDA" w:rsidRDefault="007C5DDA" w:rsidP="007C5DDA">
      <w:pPr>
        <w:pStyle w:val="ab"/>
        <w:numPr>
          <w:ilvl w:val="0"/>
          <w:numId w:val="22"/>
        </w:numPr>
        <w:shd w:val="clear" w:color="auto" w:fill="FFFFFF"/>
        <w:spacing w:before="100" w:beforeAutospacing="1" w:after="150" w:afterAutospacing="1" w:line="36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Интересует учеников данного класса (основываясь на наблюдениях).</w:t>
      </w:r>
    </w:p>
    <w:p w:rsidR="007C5DDA" w:rsidRDefault="007C5DDA" w:rsidP="007C5DDA">
      <w:pPr>
        <w:shd w:val="clear" w:color="auto" w:fill="FFFFFF"/>
        <w:spacing w:before="100" w:beforeAutospacing="1" w:after="150" w:afterAutospacing="1" w:line="360" w:lineRule="auto"/>
        <w:ind w:left="360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Обязательно обсудите результаты после исследовательской деятельности. Это необходимо для восполнения пробелов в понимании и готовит учащихся к следующим заданиями подобного типа. </w:t>
      </w:r>
    </w:p>
    <w:p w:rsidR="007C5DDA" w:rsidRDefault="007C5DDA" w:rsidP="007C5DDA">
      <w:pPr>
        <w:shd w:val="clear" w:color="auto" w:fill="FFFFFF"/>
        <w:spacing w:before="100" w:beforeAutospacing="1" w:after="150" w:afterAutospacing="1" w:line="360" w:lineRule="auto"/>
        <w:ind w:left="360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Подводя итог всему вышесказанному, исследовательский подход сможет вывести учащихся на новый уровень осознанности в усвоении знаний, даст им дополнительную мотивацию к познанию, но это требует от учителя владения стратегиями исследовательской деятельности, понимания как строится учебный процесс, как </w:t>
      </w:r>
      <w:r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lastRenderedPageBreak/>
        <w:t xml:space="preserve">управлять познанием таким образом, чтобы учащиеся видели преимущества, ценность происходящего в классе. </w:t>
      </w:r>
      <w:r w:rsidR="0040485F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Этот подход работает только в том случае, если ученики действительно увлечены идеей, а не просто самостоятельно изучают скучный и непонятный текст. Мастерство учителя заключается в том, чтобы сделать процесс познания увлекательным, вооружив учеников инструментами для самостоятельного </w:t>
      </w:r>
      <w:r w:rsidR="004E38E8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>получения</w:t>
      </w:r>
      <w:r w:rsidR="0040485F"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  <w:t xml:space="preserve"> знаний.</w:t>
      </w:r>
    </w:p>
    <w:p w:rsidR="00B927AF" w:rsidRPr="001419F2" w:rsidRDefault="00B927AF" w:rsidP="00141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927AF" w:rsidRPr="0014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79C" w:rsidRDefault="00D0379C" w:rsidP="00825076">
      <w:pPr>
        <w:spacing w:after="0" w:line="240" w:lineRule="auto"/>
      </w:pPr>
      <w:r>
        <w:separator/>
      </w:r>
    </w:p>
  </w:endnote>
  <w:endnote w:type="continuationSeparator" w:id="0">
    <w:p w:rsidR="00D0379C" w:rsidRDefault="00D0379C" w:rsidP="0082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79C" w:rsidRDefault="00D0379C" w:rsidP="00825076">
      <w:pPr>
        <w:spacing w:after="0" w:line="240" w:lineRule="auto"/>
      </w:pPr>
      <w:r>
        <w:separator/>
      </w:r>
    </w:p>
  </w:footnote>
  <w:footnote w:type="continuationSeparator" w:id="0">
    <w:p w:rsidR="00D0379C" w:rsidRDefault="00D0379C" w:rsidP="00825076">
      <w:pPr>
        <w:spacing w:after="0" w:line="240" w:lineRule="auto"/>
      </w:pPr>
      <w:r>
        <w:continuationSeparator/>
      </w:r>
    </w:p>
  </w:footnote>
  <w:footnote w:id="1">
    <w:p w:rsidR="00825076" w:rsidRPr="00D13A9A" w:rsidRDefault="0082507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 w:rsidRPr="008D4253">
        <w:t xml:space="preserve"> </w:t>
      </w:r>
      <w:r w:rsidRPr="00D13A9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Пиаже Ж.</w:t>
      </w:r>
      <w:r w:rsidRPr="00D13A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D13A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Избранные психологические труды.</w:t>
      </w:r>
      <w:r w:rsidRPr="00D13A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D13A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 М., 1994</w:t>
      </w:r>
      <w:r w:rsidR="008D4253" w:rsidRPr="00D13A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</w:footnote>
  <w:footnote w:id="2">
    <w:p w:rsidR="00825076" w:rsidRPr="00D13A9A" w:rsidRDefault="008250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13A9A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D13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3A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Dewey, J (1997) How We Think, New York: Dover Publications</w:t>
      </w:r>
    </w:p>
  </w:footnote>
  <w:footnote w:id="3">
    <w:p w:rsidR="00825076" w:rsidRPr="00D13A9A" w:rsidRDefault="008250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13A9A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D13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3A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Vygotsky, L.S. (1962) Thought and Language, Cambridge, MA: MIT Press.</w:t>
      </w:r>
    </w:p>
  </w:footnote>
  <w:footnote w:id="4">
    <w:p w:rsidR="00825076" w:rsidRPr="00D13A9A" w:rsidRDefault="008250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13A9A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D13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3A9A">
        <w:rPr>
          <w:rStyle w:val="reference-text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Freire, P. (1984) Pedagogy of the Oppressed, New York: Continuum Publishing Company.</w:t>
      </w:r>
    </w:p>
  </w:footnote>
  <w:footnote w:id="5">
    <w:p w:rsidR="00D13A9A" w:rsidRPr="00D13A9A" w:rsidRDefault="00D13A9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13A9A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D13A9A">
        <w:rPr>
          <w:rFonts w:ascii="Times New Roman" w:hAnsi="Times New Roman" w:cs="Times New Roman"/>
          <w:sz w:val="24"/>
          <w:szCs w:val="24"/>
          <w:lang w:val="en-US"/>
        </w:rPr>
        <w:t xml:space="preserve">Herron, M. (1971) “The nature of scientific enquiry”. The School Review. Vol.79, </w:t>
      </w:r>
      <w:r w:rsidRPr="000D65C0">
        <w:rPr>
          <w:rFonts w:ascii="Times New Roman" w:hAnsi="Times New Roman" w:cs="Times New Roman"/>
          <w:sz w:val="24"/>
          <w:szCs w:val="24"/>
          <w:lang w:val="en-US"/>
        </w:rPr>
        <w:t>№ 2</w:t>
      </w:r>
      <w:r w:rsidRPr="00D13A9A">
        <w:rPr>
          <w:rFonts w:ascii="Times New Roman" w:hAnsi="Times New Roman" w:cs="Times New Roman"/>
          <w:sz w:val="24"/>
          <w:szCs w:val="24"/>
          <w:lang w:val="en-US"/>
        </w:rPr>
        <w:t xml:space="preserve"> (Feb. 1971). The University of Chicago Press.</w:t>
      </w:r>
    </w:p>
  </w:footnote>
  <w:footnote w:id="6">
    <w:p w:rsidR="001419F2" w:rsidRPr="001419F2" w:rsidRDefault="001419F2">
      <w:pPr>
        <w:pStyle w:val="a6"/>
        <w:rPr>
          <w:lang w:val="en-US"/>
        </w:rPr>
      </w:pPr>
      <w:r>
        <w:rPr>
          <w:rStyle w:val="a8"/>
        </w:rPr>
        <w:footnoteRef/>
      </w:r>
      <w:r w:rsidRPr="001419F2">
        <w:rPr>
          <w:lang w:val="en-US"/>
        </w:rPr>
        <w:t xml:space="preserve"> </w:t>
      </w:r>
      <w:hyperlink r:id="rId1" w:history="1">
        <w:r w:rsidRPr="001419F2">
          <w:rPr>
            <w:rStyle w:val="a4"/>
            <w:rFonts w:ascii="Arial" w:hAnsi="Arial" w:cs="Arial"/>
            <w:color w:val="0B0080"/>
            <w:sz w:val="19"/>
            <w:szCs w:val="19"/>
            <w:shd w:val="clear" w:color="auto" w:fill="FFFFFF"/>
            <w:lang w:val="en-US"/>
          </w:rPr>
          <w:t>Bloom, B. S.</w:t>
        </w:r>
      </w:hyperlink>
      <w:r w:rsidRPr="001419F2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 xml:space="preserve">; </w:t>
      </w:r>
      <w:proofErr w:type="spellStart"/>
      <w:r w:rsidRPr="001419F2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Engelhart</w:t>
      </w:r>
      <w:proofErr w:type="spellEnd"/>
      <w:r w:rsidRPr="001419F2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 xml:space="preserve">, M. D.; </w:t>
      </w:r>
      <w:proofErr w:type="spellStart"/>
      <w:r w:rsidRPr="001419F2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Furst</w:t>
      </w:r>
      <w:proofErr w:type="spellEnd"/>
      <w:r w:rsidRPr="001419F2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, E. J.; Hill, W. H.; </w:t>
      </w:r>
      <w:proofErr w:type="spellStart"/>
      <w:r>
        <w:fldChar w:fldCharType="begin"/>
      </w:r>
      <w:r w:rsidRPr="001419F2">
        <w:rPr>
          <w:lang w:val="en-US"/>
        </w:rPr>
        <w:instrText xml:space="preserve"> HYPERLINK "https://en.wikipedia.org/wiki/David_Krathwohl" \o "David Krathwohl" </w:instrText>
      </w:r>
      <w:r>
        <w:fldChar w:fldCharType="separate"/>
      </w:r>
      <w:r w:rsidRPr="001419F2">
        <w:rPr>
          <w:rStyle w:val="a4"/>
          <w:rFonts w:ascii="Arial" w:hAnsi="Arial" w:cs="Arial"/>
          <w:color w:val="0B0080"/>
          <w:sz w:val="19"/>
          <w:szCs w:val="19"/>
          <w:shd w:val="clear" w:color="auto" w:fill="FFFFFF"/>
          <w:lang w:val="en-US"/>
        </w:rPr>
        <w:t>Krathwohl</w:t>
      </w:r>
      <w:proofErr w:type="spellEnd"/>
      <w:r w:rsidRPr="001419F2">
        <w:rPr>
          <w:rStyle w:val="a4"/>
          <w:rFonts w:ascii="Arial" w:hAnsi="Arial" w:cs="Arial"/>
          <w:color w:val="0B0080"/>
          <w:sz w:val="19"/>
          <w:szCs w:val="19"/>
          <w:shd w:val="clear" w:color="auto" w:fill="FFFFFF"/>
          <w:lang w:val="en-US"/>
        </w:rPr>
        <w:t>, D. R.</w:t>
      </w:r>
      <w:r>
        <w:fldChar w:fldCharType="end"/>
      </w:r>
      <w:r w:rsidRPr="001419F2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 (1956). </w:t>
      </w:r>
      <w:r w:rsidRPr="001419F2"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  <w:lang w:val="en-US"/>
        </w:rPr>
        <w:t>Taxonomy of educational objectives: The classification of educational goals</w:t>
      </w:r>
      <w:r w:rsidRPr="001419F2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 xml:space="preserve">. Handbook I: Cognitive domain. </w:t>
      </w:r>
      <w:r w:rsidRPr="008C6BCD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New York: David McKay Company.</w:t>
      </w:r>
    </w:p>
  </w:footnote>
  <w:footnote w:id="7">
    <w:p w:rsidR="00D13A9A" w:rsidRPr="00D13A9A" w:rsidRDefault="00D13A9A">
      <w:pPr>
        <w:pStyle w:val="a6"/>
        <w:rPr>
          <w:lang w:val="en-US"/>
        </w:rPr>
      </w:pPr>
      <w:r w:rsidRPr="00D13A9A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D13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3A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Bell, T. (2010). “Collaborative inquiry learning: Models, tools, and challenges”. </w:t>
      </w:r>
      <w:r w:rsidRPr="00D13A9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en-US"/>
        </w:rPr>
        <w:t>International Jou</w:t>
      </w:r>
      <w:r w:rsidRPr="008C6BC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en-US"/>
        </w:rPr>
        <w:t>rnal of Science Education</w:t>
      </w:r>
      <w:r w:rsidRPr="008C6B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</w:p>
  </w:footnote>
  <w:footnote w:id="8">
    <w:p w:rsidR="00277475" w:rsidRDefault="00277475">
      <w:pPr>
        <w:pStyle w:val="a6"/>
      </w:pPr>
      <w:r>
        <w:rPr>
          <w:rStyle w:val="a8"/>
        </w:rPr>
        <w:footnoteRef/>
      </w:r>
      <w:r w:rsidRPr="00277475">
        <w:rPr>
          <w:lang w:val="en-US"/>
        </w:rPr>
        <w:t xml:space="preserve"> </w:t>
      </w:r>
      <w:r w:rsidRPr="00277475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Bruner, J. S. (1961). The act of discovery. </w:t>
      </w:r>
      <w:proofErr w:type="spellStart"/>
      <w:r>
        <w:rPr>
          <w:rStyle w:val="aa"/>
          <w:rFonts w:ascii="Arial" w:hAnsi="Arial" w:cs="Arial"/>
          <w:color w:val="333333"/>
          <w:sz w:val="21"/>
          <w:szCs w:val="21"/>
          <w:shd w:val="clear" w:color="auto" w:fill="FFFFFF"/>
        </w:rPr>
        <w:t>Harvard</w:t>
      </w:r>
      <w:proofErr w:type="spellEnd"/>
      <w:r>
        <w:rPr>
          <w:rStyle w:val="aa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a"/>
          <w:rFonts w:ascii="Arial" w:hAnsi="Arial" w:cs="Arial"/>
          <w:color w:val="333333"/>
          <w:sz w:val="21"/>
          <w:szCs w:val="21"/>
          <w:shd w:val="clear" w:color="auto" w:fill="FFFFFF"/>
        </w:rPr>
        <w:t>Educational</w:t>
      </w:r>
      <w:proofErr w:type="spellEnd"/>
      <w:r>
        <w:rPr>
          <w:rStyle w:val="aa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a"/>
          <w:rFonts w:ascii="Arial" w:hAnsi="Arial" w:cs="Arial"/>
          <w:color w:val="333333"/>
          <w:sz w:val="21"/>
          <w:szCs w:val="21"/>
          <w:shd w:val="clear" w:color="auto" w:fill="FFFFFF"/>
        </w:rPr>
        <w:t>Review</w:t>
      </w:r>
      <w:proofErr w:type="spellEnd"/>
      <w:r>
        <w:rPr>
          <w:rStyle w:val="aa"/>
          <w:rFonts w:ascii="Arial" w:hAnsi="Arial" w:cs="Arial"/>
          <w:color w:val="333333"/>
          <w:sz w:val="21"/>
          <w:szCs w:val="21"/>
          <w:shd w:val="clear" w:color="auto" w:fill="FFFFFF"/>
        </w:rPr>
        <w:t>, 31,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21-32.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5D8"/>
    <w:multiLevelType w:val="multilevel"/>
    <w:tmpl w:val="4216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A62A1"/>
    <w:multiLevelType w:val="multilevel"/>
    <w:tmpl w:val="0658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74E50"/>
    <w:multiLevelType w:val="multilevel"/>
    <w:tmpl w:val="0E2E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34EFE"/>
    <w:multiLevelType w:val="multilevel"/>
    <w:tmpl w:val="64FE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31CB5"/>
    <w:multiLevelType w:val="multilevel"/>
    <w:tmpl w:val="0010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45D59"/>
    <w:multiLevelType w:val="multilevel"/>
    <w:tmpl w:val="EA30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5479E"/>
    <w:multiLevelType w:val="multilevel"/>
    <w:tmpl w:val="5904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6A7537"/>
    <w:multiLevelType w:val="multilevel"/>
    <w:tmpl w:val="403A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7D4D80"/>
    <w:multiLevelType w:val="multilevel"/>
    <w:tmpl w:val="FECC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546936"/>
    <w:multiLevelType w:val="multilevel"/>
    <w:tmpl w:val="0B680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C25152"/>
    <w:multiLevelType w:val="multilevel"/>
    <w:tmpl w:val="1BAA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2132AA"/>
    <w:multiLevelType w:val="multilevel"/>
    <w:tmpl w:val="CDBE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6155D1"/>
    <w:multiLevelType w:val="multilevel"/>
    <w:tmpl w:val="02A0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4E3E61"/>
    <w:multiLevelType w:val="hybridMultilevel"/>
    <w:tmpl w:val="8996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5294E"/>
    <w:multiLevelType w:val="multilevel"/>
    <w:tmpl w:val="8836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C72F4E"/>
    <w:multiLevelType w:val="multilevel"/>
    <w:tmpl w:val="0B08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A32908"/>
    <w:multiLevelType w:val="multilevel"/>
    <w:tmpl w:val="9BA4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771D9D"/>
    <w:multiLevelType w:val="multilevel"/>
    <w:tmpl w:val="974C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14A727D"/>
    <w:multiLevelType w:val="multilevel"/>
    <w:tmpl w:val="0B90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BB57C8"/>
    <w:multiLevelType w:val="multilevel"/>
    <w:tmpl w:val="C87C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C33986"/>
    <w:multiLevelType w:val="multilevel"/>
    <w:tmpl w:val="354C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5F70DA"/>
    <w:multiLevelType w:val="hybridMultilevel"/>
    <w:tmpl w:val="6110249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9"/>
  </w:num>
  <w:num w:numId="5">
    <w:abstractNumId w:val="16"/>
  </w:num>
  <w:num w:numId="6">
    <w:abstractNumId w:val="15"/>
  </w:num>
  <w:num w:numId="7">
    <w:abstractNumId w:val="12"/>
  </w:num>
  <w:num w:numId="8">
    <w:abstractNumId w:val="18"/>
  </w:num>
  <w:num w:numId="9">
    <w:abstractNumId w:val="20"/>
  </w:num>
  <w:num w:numId="10">
    <w:abstractNumId w:val="1"/>
  </w:num>
  <w:num w:numId="11">
    <w:abstractNumId w:val="4"/>
  </w:num>
  <w:num w:numId="12">
    <w:abstractNumId w:val="0"/>
  </w:num>
  <w:num w:numId="13">
    <w:abstractNumId w:val="5"/>
  </w:num>
  <w:num w:numId="14">
    <w:abstractNumId w:val="6"/>
  </w:num>
  <w:num w:numId="15">
    <w:abstractNumId w:val="14"/>
  </w:num>
  <w:num w:numId="16">
    <w:abstractNumId w:val="2"/>
  </w:num>
  <w:num w:numId="17">
    <w:abstractNumId w:val="10"/>
  </w:num>
  <w:num w:numId="18">
    <w:abstractNumId w:val="8"/>
  </w:num>
  <w:num w:numId="19">
    <w:abstractNumId w:val="17"/>
  </w:num>
  <w:num w:numId="20">
    <w:abstractNumId w:val="9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50"/>
    <w:rsid w:val="000D65C0"/>
    <w:rsid w:val="001419F2"/>
    <w:rsid w:val="001733C1"/>
    <w:rsid w:val="00192A3E"/>
    <w:rsid w:val="001B1063"/>
    <w:rsid w:val="00277475"/>
    <w:rsid w:val="002A0687"/>
    <w:rsid w:val="002A7C28"/>
    <w:rsid w:val="00351FA8"/>
    <w:rsid w:val="003C38F6"/>
    <w:rsid w:val="003D1C42"/>
    <w:rsid w:val="0040485F"/>
    <w:rsid w:val="004E38E8"/>
    <w:rsid w:val="004E5D58"/>
    <w:rsid w:val="00516003"/>
    <w:rsid w:val="00577BA7"/>
    <w:rsid w:val="005F5C62"/>
    <w:rsid w:val="00606051"/>
    <w:rsid w:val="006C2ACF"/>
    <w:rsid w:val="007563FB"/>
    <w:rsid w:val="007C5DDA"/>
    <w:rsid w:val="007E1350"/>
    <w:rsid w:val="00825076"/>
    <w:rsid w:val="008C6BCD"/>
    <w:rsid w:val="008D4253"/>
    <w:rsid w:val="00A77FA5"/>
    <w:rsid w:val="00B927AF"/>
    <w:rsid w:val="00BF2A10"/>
    <w:rsid w:val="00C10D5F"/>
    <w:rsid w:val="00D0379C"/>
    <w:rsid w:val="00D13A9A"/>
    <w:rsid w:val="00D3134E"/>
    <w:rsid w:val="00D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87DA0-C74B-41FA-9A36-86527627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7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27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7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27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27AF"/>
    <w:rPr>
      <w:color w:val="0000FF"/>
      <w:u w:val="single"/>
    </w:rPr>
  </w:style>
  <w:style w:type="table" w:styleId="a5">
    <w:name w:val="Table Grid"/>
    <w:basedOn w:val="a1"/>
    <w:uiPriority w:val="39"/>
    <w:rsid w:val="00577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82507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2507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25076"/>
    <w:rPr>
      <w:vertAlign w:val="superscript"/>
    </w:rPr>
  </w:style>
  <w:style w:type="character" w:customStyle="1" w:styleId="reference-text">
    <w:name w:val="reference-text"/>
    <w:basedOn w:val="a0"/>
    <w:rsid w:val="00825076"/>
  </w:style>
  <w:style w:type="character" w:styleId="a9">
    <w:name w:val="Strong"/>
    <w:basedOn w:val="a0"/>
    <w:uiPriority w:val="22"/>
    <w:qFormat/>
    <w:rsid w:val="000D65C0"/>
    <w:rPr>
      <w:b/>
      <w:bCs/>
    </w:rPr>
  </w:style>
  <w:style w:type="character" w:styleId="aa">
    <w:name w:val="Emphasis"/>
    <w:basedOn w:val="a0"/>
    <w:uiPriority w:val="20"/>
    <w:qFormat/>
    <w:rsid w:val="00277475"/>
    <w:rPr>
      <w:i/>
      <w:iCs/>
    </w:rPr>
  </w:style>
  <w:style w:type="paragraph" w:styleId="ab">
    <w:name w:val="List Paragraph"/>
    <w:basedOn w:val="a"/>
    <w:uiPriority w:val="34"/>
    <w:qFormat/>
    <w:rsid w:val="0027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0%B4%D0%B0%D0%B3%D0%BE%D0%B3%D0%B8%D0%BA%D0%B0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1%8B%D0%B3%D0%BE%D1%82%D1%81%D0%BA%D0%B8%D0%B9,_%D0%9B%D0%B5%D0%B2_%D0%A1%D0%B5%D0%BC%D1%91%D0%BD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F%D0%B8%D0%B0%D0%B6%D0%B5,_%D0%96%D0%B0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1%D1%83%D1%87%D0%B5%D0%BD%D0%B8%D0%B5_%D0%BF%D1%83%D1%82%D1%91%D0%BC_%D0%BE%D1%82%D0%BA%D1%80%D1%8B%D1%82%D0%B8%D1%8F" TargetMode="External"/><Relationship Id="rId14" Type="http://schemas.openxmlformats.org/officeDocument/2006/relationships/hyperlink" Target="https://4brain.ru/psy/psihologija-motivacii.php?ici_source=ba&amp;ici_medium=lin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Benjamin_Blo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B2BF-B641-4A94-ABD0-150A5646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Елена</cp:lastModifiedBy>
  <cp:revision>2</cp:revision>
  <dcterms:created xsi:type="dcterms:W3CDTF">2019-02-09T17:09:00Z</dcterms:created>
  <dcterms:modified xsi:type="dcterms:W3CDTF">2019-02-09T17:09:00Z</dcterms:modified>
</cp:coreProperties>
</file>