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6498" w:type="dxa"/>
        <w:jc w:val="left"/>
        <w:tblInd w:w="0" w:type="dxa"/>
        <w:tblBorders>
          <w:top w:val="thickThinSmallGap" w:sz="2" w:space="0" w:color="000099"/>
          <w:left w:val="thickThinSmallGap" w:sz="2" w:space="0" w:color="000099"/>
          <w:bottom w:val="thickThinSmallGap" w:sz="2" w:space="0" w:color="000099"/>
          <w:insideH w:val="thickThinSmallGap" w:sz="2" w:space="0" w:color="000099"/>
        </w:tblBorders>
        <w:tblCellMar>
          <w:top w:w="283" w:type="dxa"/>
          <w:left w:w="283" w:type="dxa"/>
          <w:bottom w:w="283" w:type="dxa"/>
          <w:right w:w="283" w:type="dxa"/>
        </w:tblCellMar>
      </w:tblPr>
      <w:tblGrid>
        <w:gridCol w:w="5464"/>
        <w:gridCol w:w="35"/>
        <w:gridCol w:w="5488"/>
        <w:gridCol w:w="11"/>
        <w:gridCol w:w="5500"/>
      </w:tblGrid>
      <w:tr>
        <w:trPr>
          <w:trHeight w:val="11508" w:hRule="atLeast"/>
        </w:trPr>
        <w:tc>
          <w:tcPr>
            <w:tcW w:w="5464" w:type="dxa"/>
            <w:tcBorders>
              <w:top w:val="thickThinSmallGap" w:sz="2" w:space="0" w:color="000099"/>
              <w:left w:val="thickThinSmallGap" w:sz="2" w:space="0" w:color="000099"/>
              <w:bottom w:val="thickThinSmallGap" w:sz="2" w:space="0" w:color="000099"/>
              <w:insideH w:val="thickThinSmallGap" w:sz="2" w:space="0" w:color="000099"/>
            </w:tcBorders>
            <w:shd w:fill="auto" w:val="clear"/>
          </w:tcPr>
          <w:p>
            <w:pPr>
              <w:pStyle w:val="Normal"/>
              <w:widowControl/>
              <w:numPr>
                <w:ilvl w:val="0"/>
                <w:numId w:val="3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left"/>
              <w:rPr/>
            </w:pPr>
            <w:r>
              <w:rPr>
                <w:rFonts w:ascii="Cambria" w:hAnsi="Cambria"/>
                <w:sz w:val="24"/>
                <w:szCs w:val="24"/>
              </w:rPr>
              <w:t xml:space="preserve">устойчивость – ребенок может удержать достигнутое положение губ и языка под счет взрослого; сначала взрослый считает от одного до пяти, затем длительность удерживания </w:t>
            </w: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положения постепенно увеличивается до десяти;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left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переключаемость – умение быстро, плавно, легко многократно переходить от одного движения к другому при сохранении высокого качества выполнения упражнения.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bidi w:val="0"/>
              <w:spacing w:lineRule="auto" w:line="240"/>
              <w:ind w:left="0" w:right="0" w:hanging="0"/>
              <w:jc w:val="left"/>
              <w:rPr/>
            </w:pPr>
            <w:r>
              <w:rPr>
                <w:rFonts w:ascii="Cambria" w:hAnsi="Cambria"/>
                <w:sz w:val="24"/>
                <w:szCs w:val="24"/>
              </w:rPr>
              <w:t xml:space="preserve">Если у ребенка не получается какое-то движение, помогать ему (шпателем, ручкой чайной </w:t>
            </w:r>
            <w:r>
              <w:rPr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ложки или просто чистым пальцем) при соблюдении  гигиенических требований (чистота рук и инвентаря).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bidi w:val="0"/>
              <w:spacing w:lineRule="auto" w:line="240"/>
              <w:ind w:left="0" w:right="0" w:hanging="0"/>
              <w:jc w:val="left"/>
              <w:rPr/>
            </w:pP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В процессе выполнения гимнастики важно помнить о создании положительного эмоционального настроя у ребенка. Нельзя говорить ему, что он делает неправильно, лучше его подбодрить.</w:t>
            </w:r>
          </w:p>
          <w:p>
            <w:pPr>
              <w:pStyle w:val="Normal"/>
              <w:widowControl/>
              <w:bidi w:val="0"/>
              <w:spacing w:lineRule="auto" w:line="240"/>
              <w:ind w:left="0" w:right="0" w:hanging="0"/>
              <w:jc w:val="left"/>
              <w:rPr>
                <w:rStyle w:val="Style14"/>
                <w:rFonts w:ascii="Cambria" w:hAnsi="Cambria" w:eastAsia="sans-serif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/>
              <w:bidi w:val="0"/>
              <w:spacing w:lineRule="auto" w:line="240"/>
              <w:ind w:left="0" w:right="0" w:hanging="0"/>
              <w:jc w:val="center"/>
              <w:rPr/>
            </w:pPr>
            <w:r>
              <w:rPr>
                <w:rStyle w:val="Style14"/>
                <w:rFonts w:eastAsia="sans-serif" w:ascii="Cambria" w:hAnsi="Cambria"/>
                <w:b/>
                <w:bCs/>
                <w:i/>
                <w:iCs/>
                <w:color w:val="CE181E"/>
                <w:sz w:val="26"/>
                <w:szCs w:val="26"/>
                <w:lang w:val="ru-RU"/>
              </w:rPr>
              <w:t>Примерные упражнения</w:t>
            </w:r>
          </w:p>
          <w:p>
            <w:pPr>
              <w:pStyle w:val="Normal"/>
              <w:widowControl/>
              <w:bidi w:val="0"/>
              <w:spacing w:lineRule="auto" w:line="240"/>
              <w:ind w:left="0" w:right="0" w:hanging="0"/>
              <w:jc w:val="center"/>
              <w:rPr>
                <w:rStyle w:val="Style14"/>
                <w:rFonts w:ascii="Cambria" w:hAnsi="Cambria" w:eastAsia="sans-serif"/>
                <w:b/>
                <w:b/>
                <w:bCs/>
                <w:i/>
                <w:i/>
                <w:iCs/>
                <w:color w:val="CE181E"/>
                <w:sz w:val="26"/>
                <w:szCs w:val="26"/>
                <w:lang w:val="ru-RU"/>
              </w:rPr>
            </w:pPr>
            <w:r>
              <w:rPr>
                <w:rFonts w:eastAsia="sans-serif" w:ascii="Cambria" w:hAnsi="Cambria"/>
                <w:b/>
                <w:bCs/>
                <w:i/>
                <w:iCs/>
                <w:color w:val="CE181E"/>
                <w:sz w:val="26"/>
                <w:szCs w:val="26"/>
                <w:lang w:val="ru-RU"/>
              </w:rPr>
            </w:r>
          </w:p>
          <w:p>
            <w:pPr>
              <w:pStyle w:val="Normal"/>
              <w:widowControl/>
              <w:bidi w:val="0"/>
              <w:spacing w:lineRule="auto" w:line="240"/>
              <w:ind w:left="0" w:right="0" w:hanging="0"/>
              <w:jc w:val="left"/>
              <w:rPr>
                <w:rStyle w:val="Style14"/>
                <w:rFonts w:ascii="Cambria" w:hAnsi="Cambria" w:eastAsia="sans-serif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1264920</wp:posOffset>
                  </wp:positionV>
                  <wp:extent cx="3107690" cy="1075690"/>
                  <wp:effectExtent l="0" t="0" r="0" b="0"/>
                  <wp:wrapSquare wrapText="largest"/>
                  <wp:docPr id="1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07690" cy="86868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bidi w:val="0"/>
              <w:spacing w:lineRule="auto" w:line="240"/>
              <w:ind w:left="0" w:right="0" w:hanging="0"/>
              <w:jc w:val="left"/>
              <w:rPr>
                <w:rStyle w:val="Style14"/>
                <w:rFonts w:ascii="Cambria" w:hAnsi="Cambria" w:eastAsia="sans-serif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</w:r>
          </w:p>
        </w:tc>
        <w:tc>
          <w:tcPr>
            <w:tcW w:w="5523" w:type="dxa"/>
            <w:gridSpan w:val="2"/>
            <w:tcBorders>
              <w:top w:val="thickThinSmallGap" w:sz="2" w:space="0" w:color="000099"/>
              <w:left w:val="thickThinSmallGap" w:sz="2" w:space="0" w:color="000099"/>
              <w:bottom w:val="thickThinSmallGap" w:sz="2" w:space="0" w:color="000099"/>
              <w:insideH w:val="thickThinSmallGap" w:sz="2" w:space="0" w:color="000099"/>
            </w:tcBorders>
            <w:shd w:fill="auto" w:val="clear"/>
          </w:tcPr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970280"/>
                  <wp:effectExtent l="0" t="0" r="0" b="0"/>
                  <wp:wrapSquare wrapText="largest"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1103630"/>
                  <wp:effectExtent l="0" t="0" r="0" b="0"/>
                  <wp:wrapSquare wrapText="largest"/>
                  <wp:docPr id="4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938530"/>
                  <wp:effectExtent l="0" t="0" r="0" b="0"/>
                  <wp:wrapSquare wrapText="largest"/>
                  <wp:docPr id="5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907415"/>
                  <wp:effectExtent l="0" t="0" r="0" b="0"/>
                  <wp:wrapSquare wrapText="largest"/>
                  <wp:docPr id="6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995680"/>
                  <wp:effectExtent l="0" t="0" r="0" b="0"/>
                  <wp:wrapSquare wrapText="largest"/>
                  <wp:docPr id="7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8170" cy="982345"/>
                  <wp:effectExtent l="0" t="0" r="0" b="0"/>
                  <wp:wrapSquare wrapText="largest"/>
                  <wp:docPr id="8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11" w:type="dxa"/>
            <w:gridSpan w:val="2"/>
            <w:tcBorders>
              <w:top w:val="thickThinSmallGap" w:sz="2" w:space="0" w:color="000099"/>
              <w:left w:val="thickThinSmallGap" w:sz="2" w:space="0" w:color="000099"/>
              <w:bottom w:val="thickThinSmallGap" w:sz="2" w:space="0" w:color="000099"/>
              <w:right w:val="thickThinSmallGap" w:sz="2" w:space="0" w:color="000099"/>
              <w:insideH w:val="thickThinSmallGap" w:sz="2" w:space="0" w:color="000099"/>
              <w:insideV w:val="thickThinSmallGap" w:sz="2" w:space="0" w:color="000099"/>
            </w:tcBorders>
            <w:shd w:fill="auto" w:val="clear"/>
          </w:tcPr>
          <w:p>
            <w:pPr>
              <w:pStyle w:val="Style22"/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Муниципальное бюджетное дошкольное образовательное учреждение </w:t>
            </w:r>
          </w:p>
          <w:p>
            <w:pPr>
              <w:pStyle w:val="Style22"/>
              <w:jc w:val="center"/>
              <w:rPr>
                <w:color w:val="000080"/>
              </w:rPr>
            </w:pPr>
            <w:r>
              <w:rPr>
                <w:color w:val="000080"/>
              </w:rPr>
              <w:t>«Детский сад №108»</w:t>
            </w:r>
          </w:p>
          <w:p>
            <w:pPr>
              <w:pStyle w:val="Style22"/>
              <w:jc w:val="center"/>
              <w:rPr>
                <w:color w:val="000080"/>
              </w:rPr>
            </w:pPr>
            <w:r>
              <w:rPr>
                <w:color w:val="000080"/>
              </w:rPr>
              <w:t>г. Рязань</w:t>
            </w:r>
          </w:p>
          <w:p>
            <w:pPr>
              <w:pStyle w:val="Style22"/>
              <w:jc w:val="center"/>
              <w:rPr/>
            </w:pPr>
            <w:r>
              <w:rPr/>
            </w:r>
          </w:p>
          <w:p>
            <w:pPr>
              <w:pStyle w:val="Style22"/>
              <w:jc w:val="center"/>
              <w:rPr>
                <w:b/>
                <w:b/>
                <w:bCs/>
                <w:i w:val="false"/>
                <w:i w:val="false"/>
                <w:iCs w:val="false"/>
                <w:color w:val="CC0000"/>
                <w:sz w:val="32"/>
                <w:szCs w:val="32"/>
              </w:rPr>
            </w:pPr>
            <w:r>
              <w:rPr>
                <w:rFonts w:ascii="Caladea" w:hAnsi="Caladea"/>
                <w:b/>
                <w:bCs/>
                <w:i w:val="false"/>
                <w:iCs w:val="false"/>
                <w:color w:val="CC0000"/>
                <w:sz w:val="32"/>
                <w:szCs w:val="32"/>
              </w:rPr>
              <w:t>АРТИКУЛЯЦИОННАЯ ГИМНАСТИКА</w:t>
            </w:r>
          </w:p>
          <w:p>
            <w:pPr>
              <w:pStyle w:val="Style22"/>
              <w:jc w:val="center"/>
              <w:rPr>
                <w:rFonts w:ascii="Caladea" w:hAnsi="Caladea"/>
                <w:sz w:val="26"/>
                <w:szCs w:val="26"/>
              </w:rPr>
            </w:pPr>
            <w:r>
              <w:rPr>
                <w:rFonts w:ascii="Caladea" w:hAnsi="Caladea"/>
                <w:sz w:val="26"/>
                <w:szCs w:val="26"/>
              </w:rPr>
            </w:r>
          </w:p>
          <w:p>
            <w:pPr>
              <w:pStyle w:val="Style22"/>
              <w:jc w:val="center"/>
              <w:rPr>
                <w:sz w:val="32"/>
                <w:szCs w:val="32"/>
              </w:rPr>
            </w:pPr>
            <w:r>
              <w:rPr>
                <w:rFonts w:ascii="Caladea" w:hAnsi="Caladea"/>
                <w:b/>
                <w:bCs/>
                <w:i w:val="false"/>
                <w:iCs w:val="false"/>
                <w:color w:val="000080"/>
                <w:sz w:val="26"/>
                <w:szCs w:val="26"/>
              </w:rPr>
              <w:t>(советы логопеда)</w:t>
            </w:r>
          </w:p>
          <w:p>
            <w:pPr>
              <w:pStyle w:val="Style22"/>
              <w:jc w:val="center"/>
              <w:rPr>
                <w:rFonts w:ascii="Caladea" w:hAnsi="Caladea"/>
                <w:b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Caladea" w:hAnsi="Caladea"/>
                <w:b/>
                <w:bCs/>
                <w:color w:val="000080"/>
                <w:sz w:val="26"/>
                <w:szCs w:val="26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422650" cy="4170680"/>
                  <wp:effectExtent l="0" t="0" r="0" b="0"/>
                  <wp:wrapSquare wrapText="largest"/>
                  <wp:docPr id="9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jc w:val="center"/>
              <w:rPr>
                <w:rFonts w:ascii="Caladea" w:hAnsi="Caladea"/>
                <w:b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Caladea" w:hAnsi="Caladea"/>
                <w:b/>
                <w:bCs/>
                <w:color w:val="000080"/>
                <w:sz w:val="26"/>
                <w:szCs w:val="26"/>
              </w:rPr>
            </w:r>
          </w:p>
          <w:p>
            <w:pPr>
              <w:pStyle w:val="Style22"/>
              <w:jc w:val="center"/>
              <w:rPr/>
            </w:pPr>
            <w:r>
              <w:rPr>
                <w:rFonts w:ascii="Caladea" w:hAnsi="Caladea"/>
                <w:b/>
                <w:bCs/>
                <w:color w:val="000080"/>
                <w:sz w:val="26"/>
                <w:szCs w:val="26"/>
              </w:rPr>
              <w:t>Подготовила</w:t>
            </w:r>
          </w:p>
          <w:p>
            <w:pPr>
              <w:pStyle w:val="Style22"/>
              <w:jc w:val="center"/>
              <w:rPr/>
            </w:pPr>
            <w:r>
              <w:rPr>
                <w:rFonts w:ascii="Caladea" w:hAnsi="Caladea"/>
                <w:b/>
                <w:bCs/>
                <w:color w:val="000080"/>
                <w:sz w:val="26"/>
                <w:szCs w:val="26"/>
              </w:rPr>
              <w:t>учитель-логопед  Исакова С.А.</w:t>
            </w:r>
          </w:p>
        </w:tc>
      </w:tr>
      <w:tr>
        <w:trPr>
          <w:trHeight w:val="11628" w:hRule="atLeast"/>
        </w:trPr>
        <w:tc>
          <w:tcPr>
            <w:tcW w:w="5499" w:type="dxa"/>
            <w:gridSpan w:val="2"/>
            <w:tcBorders>
              <w:top w:val="thinThickMediumGap" w:sz="2" w:space="0" w:color="000099"/>
              <w:left w:val="thinThickMediumGap" w:sz="2" w:space="0" w:color="000099"/>
              <w:bottom w:val="thinThickMediumGap" w:sz="2" w:space="0" w:color="000099"/>
              <w:insideH w:val="thinThickMediumGap" w:sz="2" w:space="0" w:color="000099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ascii="Cambria" w:hAnsi="Cambria"/>
                <w:b/>
                <w:bCs/>
                <w:i/>
                <w:iCs/>
                <w:color w:val="CE181E"/>
                <w:sz w:val="24"/>
                <w:szCs w:val="24"/>
                <w:lang w:val="ru-RU"/>
              </w:rPr>
              <w:t xml:space="preserve">Советы по </w:t>
            </w:r>
            <w:r>
              <w:rPr>
                <w:rFonts w:ascii="Cambria" w:hAnsi="Cambria"/>
                <w:b/>
                <w:bCs/>
                <w:i/>
                <w:iCs/>
                <w:color w:val="CE181E"/>
                <w:sz w:val="24"/>
                <w:szCs w:val="24"/>
              </w:rPr>
              <w:t xml:space="preserve"> о</w:t>
            </w:r>
            <w:r>
              <w:rPr>
                <w:rStyle w:val="Style14"/>
                <w:rFonts w:ascii="Cambria" w:hAnsi="Cambria"/>
                <w:b/>
                <w:bCs/>
                <w:i/>
                <w:iCs/>
                <w:color w:val="CE181E"/>
                <w:sz w:val="24"/>
                <w:szCs w:val="24"/>
              </w:rPr>
              <w:t>рганизации работы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Артикуляционную гимнастику необходимо проводить перед хорошо освещенным настенным зеркалом. Ребенок должен хорошо видеть лицо взрослого, а также свое лицо, чтобы самостоятельно контролировать правильность выполнения упражнений. 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Артикуляционную гимнастику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обычно</w:t>
            </w:r>
            <w:r>
              <w:rPr>
                <w:rStyle w:val="Style15"/>
                <w:rFonts w:ascii="Cambria" w:hAnsi="Cambria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выполняют сидя, так как в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этом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положении у ребенка спина прямая, тело не напряжено, руки и ноги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находятся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в спокойном состоянии.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Не начинать гимнастику, если у ребенка нет носового платка и не вымыты руки. Иногда приходится показывать пальчиком ребенка точное размещение языка во рту. Во время выполнения упражнений у ребенка выделяется слюна. После каждого выполнения упражнения напоминайте ребенку: «Закрой рот. Глотни слюну».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Взрослый рассказывает о предстоящем упражнении, используя игровые приемы. Знакомя ребенка с новым упражнением, необходимо дать детям сюжетную зарисовку, картинку-образ, выполнить рисунок самостоятельно. Любая история, сказка, предметы, иллюстрация – это наглядность, с помощью которой сохраняется внимание ребенка, вследствие чего активизируется все процессы речи. 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Взрослый показывает выполнение упражнения, выполняя методические указания. Инструкцию по выполнению упражнения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надо давать поэтапно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, например: улыбнись, покажи зубы, приоткрой рот, подними кончик языка ввер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х   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к бугоркам за верхними зубами, постучи в</w:t>
            </w:r>
          </w:p>
        </w:tc>
        <w:tc>
          <w:tcPr>
            <w:tcW w:w="5499" w:type="dxa"/>
            <w:gridSpan w:val="2"/>
            <w:tcBorders>
              <w:top w:val="thinThickMediumGap" w:sz="2" w:space="0" w:color="000099"/>
              <w:left w:val="thinThickMediumGap" w:sz="2" w:space="0" w:color="000099"/>
              <w:bottom w:val="thinThickMediumGap" w:sz="2" w:space="0" w:color="000099"/>
              <w:insideH w:val="thinThickMediumGap" w:sz="2" w:space="0" w:color="000099"/>
            </w:tcBorders>
            <w:shd w:fill="auto" w:val="clear"/>
          </w:tcPr>
          <w:p>
            <w:pPr>
              <w:pStyle w:val="Style18"/>
              <w:widowControl/>
              <w:numPr>
                <w:ilvl w:val="0"/>
                <w:numId w:val="0"/>
              </w:numPr>
              <w:bidi w:val="0"/>
              <w:spacing w:lineRule="auto" w:line="240" w:before="0" w:after="0"/>
              <w:ind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бугорки кончиком языка со звуком д-д-д.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Педагог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должен следить</w:t>
            </w:r>
            <w:r>
              <w:rPr>
                <w:rStyle w:val="Style15"/>
                <w:rFonts w:ascii="Cambria" w:hAnsi="Cambria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за качеством выполняемых 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ребенком движений, в</w:t>
            </w:r>
            <w:r>
              <w:rPr>
                <w:rStyle w:val="Style15"/>
                <w:rFonts w:ascii="Cambria" w:hAnsi="Cambria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противном</w:t>
            </w:r>
            <w:r>
              <w:rPr>
                <w:rStyle w:val="Style15"/>
                <w:rFonts w:ascii="Cambria" w:hAnsi="Cambria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случае артикуляционная гим</w:t>
            </w:r>
            <w:r>
              <w:rPr>
                <w:rStyle w:val="Style15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настика не достигает своей</w:t>
            </w:r>
            <w:r>
              <w:rPr>
                <w:rStyle w:val="Style15"/>
                <w:rFonts w:ascii="Cambria" w:hAnsi="Cambria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14"/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цели.</w:t>
            </w:r>
          </w:p>
          <w:p>
            <w:pPr>
              <w:pStyle w:val="Style18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Во время выполнения упражнения следует использовать свою ладонь и ладонь ребенка для имитации движений языка.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0" w:right="0" w:hanging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 </w:t>
            </w: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Гимнастика не должна надоедать ребенку, вызывать переутомления.</w:t>
            </w:r>
          </w:p>
          <w:p>
            <w:pPr>
              <w:pStyle w:val="Style18"/>
              <w:numPr>
                <w:ilvl w:val="0"/>
                <w:numId w:val="0"/>
              </w:numPr>
              <w:spacing w:lineRule="auto" w:line="240"/>
              <w:ind w:left="720" w:hanging="0"/>
              <w:jc w:val="both"/>
              <w:rPr>
                <w:rFonts w:ascii="Cambria" w:hAnsi="Cambria" w:eastAsia="sans-serif"/>
                <w:b w:val="false"/>
                <w:b w:val="false"/>
                <w:bCs w:val="false"/>
                <w:i w:val="false"/>
                <w:i w:val="false"/>
                <w:iCs w:val="false"/>
                <w:color w:val="CE181E"/>
                <w:sz w:val="24"/>
                <w:szCs w:val="24"/>
                <w:lang w:val="ru-RU"/>
              </w:rPr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color w:val="CE181E"/>
                <w:sz w:val="24"/>
                <w:szCs w:val="24"/>
                <w:lang w:val="ru-RU"/>
              </w:rPr>
            </w:r>
          </w:p>
          <w:p>
            <w:pPr>
              <w:pStyle w:val="Style18"/>
              <w:numPr>
                <w:ilvl w:val="0"/>
                <w:numId w:val="0"/>
              </w:numPr>
              <w:spacing w:lineRule="auto" w:line="240"/>
              <w:ind w:left="720" w:hanging="0"/>
              <w:jc w:val="center"/>
              <w:rPr/>
            </w:pPr>
            <w:r>
              <w:rPr>
                <w:rFonts w:ascii="Cambria" w:hAnsi="Cambria"/>
                <w:b/>
                <w:bCs/>
                <w:i/>
                <w:iCs/>
                <w:color w:val="CE181E"/>
                <w:sz w:val="26"/>
                <w:szCs w:val="26"/>
                <w:lang w:val="ru-RU"/>
              </w:rPr>
              <w:t>Рекомендации по проведению артикуляционной гимнастики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Проводить артикуляционную гимнастику нужно ежедневно, чтобы вырабатываемые у детей навыки закреплялись. Лучше выполнять упражнения 2-3 раза в день по  5-10 минут. Не следует предлагать детям более 2 – 3 упражнений за раз – разбиваем комплекс на несколько подходов. Из выполняемых двух-трех упражнений новым может быть только одно, второе и третье даются для повторения и закрепления.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Каждое упражнение выполняется по 5-7 раз.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 w:before="0" w:after="0"/>
              <w:ind w:left="0" w:right="0" w:hanging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Начинать гимнастику лучше со статических упражнений. Затем переходить к динамическим. Статические упражнения выполняются по 10-15 секунд (удержание артикуляционной позы в одном положении).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 w:before="0" w:after="140"/>
              <w:ind w:left="0" w:right="0" w:hanging="0"/>
              <w:jc w:val="both"/>
              <w:rPr/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ru-RU"/>
              </w:rPr>
              <w:t xml:space="preserve">При отборе упражнений для артикуляционной гимнастики надо соблюдать определенную последовательность, идти от простых упражнений к более сложным. 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bidi w:val="0"/>
              <w:spacing w:lineRule="auto" w:line="240" w:before="0" w:after="140"/>
              <w:ind w:left="0" w:right="0" w:hanging="0"/>
              <w:jc w:val="both"/>
              <w:rPr/>
            </w:pP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ru-RU"/>
              </w:rPr>
              <w:t xml:space="preserve">Во время работы следить за тем, </w:t>
            </w:r>
          </w:p>
        </w:tc>
        <w:tc>
          <w:tcPr>
            <w:tcW w:w="5500" w:type="dxa"/>
            <w:tcBorders>
              <w:top w:val="thinThickMediumGap" w:sz="2" w:space="0" w:color="000099"/>
              <w:left w:val="thinThickMediumGap" w:sz="2" w:space="0" w:color="000099"/>
              <w:bottom w:val="thinThickMediumGap" w:sz="2" w:space="0" w:color="000099"/>
              <w:right w:val="thinThickMediumGap" w:sz="2" w:space="0" w:color="000099"/>
              <w:insideH w:val="thinThickMediumGap" w:sz="2" w:space="0" w:color="000099"/>
              <w:insideV w:val="thinThickMediumGap" w:sz="2" w:space="0" w:color="000099"/>
            </w:tcBorders>
            <w:shd w:fill="auto" w:val="clear"/>
          </w:tcPr>
          <w:p>
            <w:pPr>
              <w:pStyle w:val="Normal"/>
              <w:widowControl/>
              <w:numPr>
                <w:ilvl w:val="0"/>
                <w:numId w:val="0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 w:before="0" w:after="0"/>
              <w:ind w:right="0" w:hanging="0"/>
              <w:jc w:val="both"/>
              <w:rPr/>
            </w:pP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ru-RU"/>
              </w:rPr>
              <w:t>чтобы у ребенка работали лишь те мышцы,</w:t>
            </w: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которые тренируются в данном упражнении. Шея и плечи должны быть расслаблены, губы не округлялись и не заворачивались внутрь рта, двигался язык, а нижняя челюсть оставалась неподвижной ( кроме упражнения «Гармошка»).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 w:before="0" w:after="0"/>
              <w:ind w:left="0" w:right="0" w:hanging="0"/>
              <w:jc w:val="both"/>
              <w:rPr>
                <w:rStyle w:val="Style14"/>
                <w:rFonts w:ascii="Cambria" w:hAnsi="Cambria" w:eastAsia="sans-serif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Style w:val="Style14"/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Упражнение    делает   ребенок, а взрослый контролирует выполнение – следит за качеством выполняемых ребенком движений: точностью движения, плавностью, темпом выполнения, переходом от одного движения к другому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0" w:right="0" w:hanging="0"/>
              <w:jc w:val="both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При   выполнении  ребенком артикуляционной гимнастики, нужно оценивать: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both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плавность движений – движение выполняется без перерывов и толчков, легко, плавно, без подёргиваний;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both"/>
              <w:rPr/>
            </w:pPr>
            <w: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-149860</wp:posOffset>
                  </wp:positionH>
                  <wp:positionV relativeFrom="paragraph">
                    <wp:posOffset>1479550</wp:posOffset>
                  </wp:positionV>
                  <wp:extent cx="1090295" cy="1588135"/>
                  <wp:effectExtent l="0" t="0" r="0" b="0"/>
                  <wp:wrapSquare wrapText="largest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д</w:t>
            </w: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ифференцированность движений – движение выполняется без сопутствующих движений других органов ( губ, нижней челюсти);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both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равномерность и симметричность движений – движения выполняются симметрично влево и вправо;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37" w:right="0" w:hanging="0"/>
              <w:jc w:val="both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четкость – ребенок знает, как правильно выполнять это упражнение, как в упражнении должны быть расположены губы, зубы, как действует язык, старается выполнить движения четко, точно,        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tabs>
                <w:tab w:val="clear" w:pos="709"/>
                <w:tab w:val="left" w:pos="396" w:leader="none"/>
              </w:tabs>
              <w:bidi w:val="0"/>
              <w:spacing w:lineRule="auto" w:line="240"/>
              <w:ind w:left="720" w:right="0" w:hanging="0"/>
              <w:jc w:val="both"/>
              <w:rPr/>
            </w:pP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 xml:space="preserve">                                          </w:t>
            </w:r>
            <w:r>
              <w:rPr>
                <w:rFonts w:eastAsia="sans-serif" w:ascii="Cambria" w:hAnsi="Cambria"/>
                <w:b w:val="false"/>
                <w:bCs w:val="false"/>
                <w:i w:val="false"/>
                <w:iCs w:val="false"/>
                <w:sz w:val="24"/>
                <w:szCs w:val="24"/>
                <w:lang w:val="ru-RU"/>
              </w:rPr>
              <w:t>в полном объеме;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>
      <w:pPr>
        <w:pStyle w:val="Normal"/>
        <w:jc w:val="center"/>
        <w:rPr/>
      </w:pPr>
      <w:r>
        <w:rPr>
          <w:rFonts w:ascii="Times New Roman" w:hAnsi="Times New Roman"/>
          <w:sz w:val="28"/>
          <w:szCs w:val="28"/>
        </w:rPr>
        <w:t>«Детский сад № 108»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«Неделя обучающей педагогики»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0"/>
          <w:szCs w:val="30"/>
          <w:lang w:val="ru-RU"/>
        </w:rPr>
      </w:pPr>
      <w:r>
        <w:rPr>
          <w:rFonts w:ascii="Times New Roman" w:hAnsi="Times New Roman"/>
          <w:b/>
          <w:bCs/>
          <w:sz w:val="30"/>
          <w:szCs w:val="30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40"/>
          <w:szCs w:val="40"/>
          <w:lang w:val="ru-RU"/>
        </w:rPr>
      </w:pPr>
      <w:r>
        <w:rPr>
          <w:rFonts w:ascii="Times New Roman" w:hAnsi="Times New Roman"/>
          <w:b/>
          <w:bCs/>
          <w:sz w:val="40"/>
          <w:szCs w:val="40"/>
          <w:lang w:val="ru-RU"/>
        </w:rPr>
        <w:t>Консультация для воспитателей:</w:t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40"/>
          <w:szCs w:val="40"/>
          <w:lang w:val="ru-RU"/>
        </w:rPr>
        <w:t>«</w:t>
      </w:r>
      <w:r>
        <w:rPr>
          <w:rStyle w:val="Style15"/>
          <w:rFonts w:ascii="Times New Roman" w:hAnsi="Times New Roman"/>
          <w:b/>
          <w:bCs/>
          <w:sz w:val="40"/>
          <w:szCs w:val="40"/>
          <w:lang w:val="ru-RU"/>
        </w:rPr>
        <w:t>Методические рекомендации  по проведению артикуляционной гимнастики»</w:t>
      </w:r>
    </w:p>
    <w:p>
      <w:pPr>
        <w:pStyle w:val="Normal"/>
        <w:jc w:val="center"/>
        <w:rPr>
          <w:rStyle w:val="Style15"/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rStyle w:val="Style15"/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Style w:val="Style15"/>
          <w:rFonts w:ascii="Times New Roman" w:hAnsi="Times New Roman"/>
          <w:b/>
          <w:bCs/>
          <w:sz w:val="28"/>
          <w:szCs w:val="28"/>
          <w:lang w:val="ru-RU"/>
        </w:rPr>
        <w:t>Подготовила учитель-логопед: Исакова С.А.</w:t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jc w:val="center"/>
        <w:rPr>
          <w:rStyle w:val="Style15"/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spacing w:lineRule="auto" w:line="240"/>
        <w:jc w:val="center"/>
        <w:rPr/>
      </w:pPr>
      <w:r>
        <w:rPr>
          <w:rStyle w:val="Style15"/>
          <w:rFonts w:ascii="Times New Roman" w:hAnsi="Times New Roman"/>
          <w:b w:val="false"/>
          <w:bCs w:val="false"/>
          <w:sz w:val="26"/>
          <w:szCs w:val="26"/>
          <w:lang w:val="ru-RU"/>
        </w:rPr>
        <w:t>г. Рязань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« Я понял, что все люди, как в жизни, так и на сцене, говорят ужасно и что для каждого из нас существует только один человек, который, по нашему мнению, говорит правильно. Этот человек - я сам. Такое явление происходит потому, что, во-первых, мы сами к себе привыкли, а во-вторых, потому что мы слышим себя иначе, чем другие воспринимают нашу речь. Нужно ее внимательно изучать, для того, чтобы по настоящему услышать себя,»- говорил К.С. Станиславский.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Научить детей дошкольного возраста говорить чисто и правильно – важнейшие цели, которые стоят перед логопедами, воспитателями и родителями. Правильное произношение может быть сформировано лишь в том случае, если у ребенка хорошо развиты подвижность и переключаемость органов артикуляции, а именно: мимической мускулатуры, языка, губ, мягкого нёба. Важной составляющей целого комплекса мероприятий, направленных на преодоление речевых нарушений и воспитания правильного звукопроизношения, является артикуляционная гимнастика. </w:t>
      </w:r>
    </w:p>
    <w:p>
      <w:pPr>
        <w:pStyle w:val="Style18"/>
        <w:spacing w:lineRule="auto" w:line="240" w:before="0" w:after="0"/>
        <w:jc w:val="both"/>
        <w:rPr/>
      </w:pPr>
      <w:r>
        <w:rPr>
          <w:rStyle w:val="Style15"/>
          <w:rFonts w:ascii="Times New Roman" w:hAnsi="Times New Roman"/>
          <w:sz w:val="24"/>
          <w:szCs w:val="24"/>
        </w:rPr>
        <w:t xml:space="preserve">    </w:t>
      </w:r>
      <w:r>
        <w:rPr>
          <w:rStyle w:val="Style15"/>
          <w:rFonts w:ascii="Times New Roman" w:hAnsi="Times New Roman"/>
          <w:sz w:val="24"/>
          <w:szCs w:val="24"/>
        </w:rPr>
        <w:t xml:space="preserve">Артикуляционная гимнастика </w:t>
      </w:r>
      <w:r>
        <w:rPr>
          <w:rFonts w:ascii="Times New Roman" w:hAnsi="Times New Roman"/>
          <w:sz w:val="24"/>
          <w:szCs w:val="24"/>
        </w:rPr>
        <w:t>- 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 органов, участвующих в речевом процессе.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Артикуляционная гимнастика по своему назначению может быть развивающей, когда мы имеем целью только улучшение дикции. В таком случае артикуляционные упражнения могут быть произвольные и применяться в любой последовательности как игровой момент или ежедневная физкультминутка во время занятий.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В логопедической группе артикуляционная гимнастика является коррекционн</w:t>
      </w:r>
      <w:r>
        <w:rPr>
          <w:rFonts w:ascii="Times New Roman" w:hAnsi="Times New Roman"/>
          <w:sz w:val="24"/>
          <w:szCs w:val="24"/>
          <w:lang w:val="ru-RU"/>
        </w:rPr>
        <w:t>о</w:t>
      </w:r>
      <w:r>
        <w:rPr>
          <w:rFonts w:ascii="Times New Roman" w:hAnsi="Times New Roman"/>
          <w:sz w:val="24"/>
          <w:szCs w:val="24"/>
        </w:rPr>
        <w:t xml:space="preserve">-развивающей. В это случае важным является правильный отбор артикуляционных упражнений, последовательность и точность их выполнения и соблюдения всех советов и требований логопеда. </w:t>
      </w:r>
    </w:p>
    <w:p>
      <w:pPr>
        <w:pStyle w:val="Style18"/>
        <w:spacing w:lineRule="auto" w:line="24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Артикуляционные упражнения  необходимы для развития органов речи.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Во-первых, для нормализации скорости и отработки точности , ритмичности движений речевых органов и переключения с одной артикуляционной позы на другую. Язык , губы и нижняя челюсть не должны двигаться слишком медленно или слишком быстро.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Для  достижения  нужной  скорости  ритмичности все упражнения выполняются под счет взрослого. Чтобы показать необходимую скорость и ритмичность, некоторые упражнения можно сопровождать движениями кистей рук, имитирующих движения языка.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Во-вторых, для укрепления , улучшения подвижности определенных групп мышц артикуляционного аппарата. В основном это упражнения на напряжение и расслабление мышц.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В-третьих, для формирования определенных артикуляционных укладов, необходимых для произнесения того или иного звука.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В-четвертых, для  увеличения объема  движений (например, для растягивания подъязычной связки- «уздечки»).</w:t>
      </w:r>
    </w:p>
    <w:p>
      <w:pPr>
        <w:pStyle w:val="Style18"/>
        <w:widowControl/>
        <w:bidi w:val="0"/>
        <w:spacing w:lineRule="auto" w:line="240" w:before="0" w:after="140"/>
        <w:ind w:left="0" w:right="0" w:hanging="0"/>
        <w:jc w:val="both"/>
        <w:rPr>
          <w:rFonts w:ascii="sans-serif" w:hAnsi="sans-serif" w:eastAsia="sans-serif"/>
          <w:b w:val="false"/>
          <w:b w:val="false"/>
          <w:bCs w:val="false"/>
          <w:i w:val="false"/>
          <w:i w:val="false"/>
          <w:iCs w:val="false"/>
          <w:sz w:val="24"/>
          <w:lang w:val="ru-RU"/>
        </w:rPr>
      </w:pP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           </w:t>
      </w: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Выработка артикуляционных навыков требует длительной и </w:t>
      </w:r>
      <w:r>
        <w:rPr>
          <w:rStyle w:val="Style15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систематической</w:t>
      </w:r>
      <w:r>
        <w:rPr>
          <w:rStyle w:val="Style15"/>
          <w:rFonts w:eastAsia="sans-serif"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работы.</w:t>
      </w:r>
    </w:p>
    <w:p>
      <w:pPr>
        <w:pStyle w:val="Style18"/>
        <w:spacing w:lineRule="auto" w:line="240"/>
        <w:jc w:val="both"/>
        <w:rPr>
          <w:rStyle w:val="Style14"/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Style18"/>
        <w:spacing w:lineRule="auto" w:line="240"/>
        <w:jc w:val="center"/>
        <w:rPr/>
      </w:pPr>
      <w:r>
        <w:rPr>
          <w:rStyle w:val="Style14"/>
          <w:rFonts w:ascii="Times New Roman" w:hAnsi="Times New Roman"/>
          <w:b/>
          <w:bCs/>
          <w:sz w:val="24"/>
          <w:szCs w:val="24"/>
        </w:rPr>
        <w:t>Виды артикуляционных упражнений</w:t>
      </w:r>
    </w:p>
    <w:p>
      <w:pPr>
        <w:pStyle w:val="Style18"/>
        <w:spacing w:lineRule="auto" w:line="240" w:before="0" w:after="0"/>
        <w:jc w:val="both"/>
        <w:rPr/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      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Все упражнения можно разделить на два вида: статические и динамические.</w:t>
      </w:r>
    </w:p>
    <w:p>
      <w:pPr>
        <w:pStyle w:val="Style18"/>
        <w:spacing w:lineRule="auto" w:line="240" w:before="0" w:after="0"/>
        <w:jc w:val="both"/>
        <w:rPr/>
      </w:pPr>
      <w:r>
        <w:rPr>
          <w:rStyle w:val="Style15"/>
          <w:rFonts w:ascii="Times New Roman" w:hAnsi="Times New Roman"/>
          <w:i/>
          <w:iCs/>
          <w:sz w:val="24"/>
          <w:szCs w:val="24"/>
        </w:rPr>
        <w:t>Статические упражнения</w:t>
      </w:r>
      <w:r>
        <w:rPr>
          <w:rFonts w:ascii="Times New Roman" w:hAnsi="Times New Roman"/>
          <w:i/>
          <w:iCs/>
          <w:sz w:val="24"/>
          <w:szCs w:val="24"/>
        </w:rPr>
        <w:t xml:space="preserve"> (неподвижные) </w:t>
      </w:r>
      <w:r>
        <w:rPr>
          <w:rFonts w:ascii="Times New Roman" w:hAnsi="Times New Roman"/>
          <w:sz w:val="24"/>
          <w:szCs w:val="24"/>
        </w:rPr>
        <w:t>направлены на то, чтобы ребенок научился удерживать артикуляционную позицию 5-10 секунд («</w:t>
      </w:r>
      <w:r>
        <w:rPr>
          <w:rFonts w:ascii="Times New Roman" w:hAnsi="Times New Roman"/>
          <w:sz w:val="24"/>
          <w:szCs w:val="24"/>
          <w:lang w:val="ru-RU"/>
        </w:rPr>
        <w:t>Окошко»</w:t>
      </w:r>
      <w:r>
        <w:rPr>
          <w:rFonts w:ascii="Times New Roman" w:hAnsi="Times New Roman"/>
          <w:sz w:val="24"/>
          <w:szCs w:val="24"/>
        </w:rPr>
        <w:t>, «Лопаточка», «Чашечка», «Иголочка», «Горка», «Грибок»).</w:t>
      </w:r>
    </w:p>
    <w:p>
      <w:pPr>
        <w:pStyle w:val="Style18"/>
        <w:spacing w:lineRule="auto" w:line="240"/>
        <w:jc w:val="both"/>
        <w:rPr/>
      </w:pPr>
      <w:r>
        <w:rPr>
          <w:rStyle w:val="Style15"/>
          <w:rFonts w:ascii="Times New Roman" w:hAnsi="Times New Roman"/>
          <w:i/>
          <w:iCs/>
          <w:sz w:val="24"/>
          <w:szCs w:val="24"/>
        </w:rPr>
        <w:t>Динамические упражнения</w:t>
      </w:r>
      <w:r>
        <w:rPr>
          <w:rStyle w:val="Style15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(подвижные, ритмичное повторение движений по 6-8 раз) вырабатывают подвижность языка и губ, их координацию и переключаемость («Часики», «Качели», «Футбол», «Лошадка», «Маляр», «Вкусное варенье», «Чистим зубки»).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</w:r>
    </w:p>
    <w:p>
      <w:pPr>
        <w:pStyle w:val="Normal"/>
        <w:spacing w:lineRule="auto" w:line="240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Органы артикуляции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к воспитателям: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Какой активный артикуляционный орган у человека? (язык)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Какие части языка вы можете назвать? (кончик, боковые края, спинка, корень)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образовании звуков участвуют также: губы, мягкое небо, нижняя челюсть (как активные органы);  вся ротовая полость (как пассивные органы).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существуют упражнения для разных частей артикуляционного аппарата: для языка, губ, щек, нижней челюсти, мягкого неба.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Советы по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о</w:t>
      </w:r>
      <w:r>
        <w:rPr>
          <w:rStyle w:val="Style14"/>
          <w:rFonts w:ascii="Times New Roman" w:hAnsi="Times New Roman"/>
          <w:b/>
          <w:bCs/>
          <w:i/>
          <w:iCs/>
          <w:sz w:val="24"/>
          <w:szCs w:val="24"/>
        </w:rPr>
        <w:t>рганизации работы</w:t>
      </w:r>
    </w:p>
    <w:p>
      <w:pPr>
        <w:pStyle w:val="Normal"/>
        <w:spacing w:lineRule="auto" w:line="240"/>
        <w:jc w:val="both"/>
        <w:rPr>
          <w:rStyle w:val="Style14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bidi w:val="0"/>
        <w:spacing w:lineRule="auto" w:line="24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Артикуляционную гимнастику необходимо проводить перед хорошо освещенным настенным зеркалом. Ребенок должен хорошо видеть лицо взрослого, а также свое лицо, чтобы самостоятельно контролировать правильность выполнения упражнений. Также ребенок может воспользоваться небольшим зеркалом, но тогда взрослый должен находиться напротив ребенка лицом к нему. </w:t>
      </w:r>
    </w:p>
    <w:p>
      <w:pPr>
        <w:pStyle w:val="Style18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Артикуляционную гимнастику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обычно</w:t>
      </w:r>
      <w:r>
        <w:rPr>
          <w:rStyle w:val="Style15"/>
          <w:rFonts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выполняют сидя, так как в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этом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положении у ребенка спина прямая, тело не напряжено, руки и ноги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находятся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в спокойном состоянии.</w:t>
      </w:r>
    </w:p>
    <w:p>
      <w:pPr>
        <w:pStyle w:val="Style18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Не начинать гимнастику, если у ребенка нет носового платка и не вымыты руки. Иногда приходится показывать пальчиком ребенка точное размещение языка во рту. Во время выполнения упражнений у ребенка выделяется слюна. После каждого выполнения упражнения напоминайте ребенку: «Закрой рот. Глотни слюну».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Взрослый рассказывает о предстоящем упражнении, используя игровые приемы. Знакомя ребенка с новым упражнением, необходимо дать детям сюжетную зарисовку, картинку-образ, выполнить рисунок самостоятельно. Любая история, сказка, предметы, иллюстрация – это наглядность, с помощью которой сохраняется внимание ребенка, вследствие чего активизируется все процессы речи. Элементы соревнования, красочность, новизна атрибутов, занимательность сюжетов игр вызывают </w:t>
      </w:r>
      <w:r>
        <w:rPr>
          <w:rFonts w:ascii="Times New Roman" w:hAnsi="Times New Roman"/>
          <w:sz w:val="24"/>
          <w:szCs w:val="24"/>
        </w:rPr>
        <w:t>интерес, не утомляют, не ведут к отказу от занятий в случае неудачи.</w:t>
      </w:r>
    </w:p>
    <w:p>
      <w:pPr>
        <w:pStyle w:val="Style18"/>
        <w:widowControl/>
        <w:bidi w:val="0"/>
        <w:spacing w:lineRule="auto" w:line="240" w:before="0" w:after="0"/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lang w:val="ru-RU"/>
        </w:rPr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Взрослый показывает выполнение упражнения, выполняя методические указания. Инструкцию по выполнению упражнения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 надо давать поэтапно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, например: улыбнись, покажи зубы, приоткрой рот, подними кончик языка вверх к бугоркам за верхними зубами, постучи в бугорки кончиком языка со звуком д-д-д. </w:t>
      </w:r>
    </w:p>
    <w:p>
      <w:pPr>
        <w:pStyle w:val="Style18"/>
        <w:widowControl/>
        <w:bidi w:val="0"/>
        <w:spacing w:lineRule="auto" w:line="240" w:before="0" w:after="0"/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lang w:val="ru-RU"/>
        </w:rPr>
      </w:pP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Педагог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должен следить</w:t>
      </w:r>
      <w:r>
        <w:rPr>
          <w:rStyle w:val="Style15"/>
          <w:rFonts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за качеством выполняемых 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ребенком движений, в</w:t>
      </w:r>
      <w:r>
        <w:rPr>
          <w:rStyle w:val="Style15"/>
          <w:rFonts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противном</w:t>
      </w:r>
      <w:r>
        <w:rPr>
          <w:rStyle w:val="Style15"/>
          <w:rFonts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случае артикуляционная гим</w:t>
      </w:r>
      <w:r>
        <w:rPr>
          <w:rStyle w:val="Style15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настика не достигает своей</w:t>
      </w:r>
      <w:r>
        <w:rPr>
          <w:rStyle w:val="Style15"/>
          <w:rFonts w:ascii="Times New Roman" w:hAnsi="Times New Roman"/>
          <w:i w:val="false"/>
          <w:iCs w:val="false"/>
          <w:sz w:val="24"/>
          <w:szCs w:val="24"/>
          <w:lang w:val="ru-RU"/>
        </w:rPr>
        <w:t xml:space="preserve"> </w:t>
      </w:r>
      <w:r>
        <w:rPr>
          <w:rStyle w:val="Style14"/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цели.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lang w:val="ru-RU"/>
        </w:rPr>
      </w:pP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Во время выполнения упражнения следует использовать свою ладонь и ладонь ребенка для имитации движений языка.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     </w:t>
      </w: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Гимнастика не должна надоедать ребенку, вызывать переутомления.</w:t>
      </w:r>
    </w:p>
    <w:p>
      <w:pPr>
        <w:pStyle w:val="Style18"/>
        <w:spacing w:lineRule="auto" w:line="240"/>
        <w:jc w:val="both"/>
        <w:rPr>
          <w:rFonts w:ascii="Times New Roman" w:hAnsi="Times New Roman"/>
          <w:b/>
          <w:b/>
          <w:bCs/>
          <w:i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r>
    </w:p>
    <w:p>
      <w:pPr>
        <w:pStyle w:val="Style18"/>
        <w:spacing w:lineRule="auto" w:line="24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Рекомендации по проведению артикуляционной гимнастики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Проводить артикуляционную гимнастику нужно ежедневно, чтобы вырабатываемые у детей навыки закреплялись. Лучше выполнять упражнения 2-3 раза в день по  5-10 минут. Не следует предлагать детям более 2 – 3 упражнений за раз – разбиваем комплекс на несколько подходов. Из выполняемых двух-трех упражнений новым может быть только одно, второе и третье даются для повторения и закрепления.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Каждое упражнение выполняется по 5-7 раз.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Начинать гимнастику лучше со статических упражнений. Затем переходить к динамическим. Статические упражнения выполняются по 10-15 секунд (удержание артикуляционной позы в одном положении).</w:t>
      </w:r>
    </w:p>
    <w:p>
      <w:pPr>
        <w:pStyle w:val="Normal"/>
        <w:widowControl/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отборе упражнений для артикуляционной гимнастики надо соблюдать определенную последовательность, идти от простых упражнений к более сложным.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Упражнение делает ребенок, а взрослый контролирует выполнение – следит за качеством выполняемых ребенком движений: точностью движения, плавностью, темпом выполнения,  переходом от одного движения к другому.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 w:before="0" w:after="0"/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lang w:val="ru-RU"/>
        </w:rPr>
      </w:pP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  </w:t>
      </w:r>
      <w:r>
        <w:rPr>
          <w:rStyle w:val="Style14"/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Во время работы нужно следить за тем, чтобы у ребенка работали лишь те мышцы, которые тренируются в данном упражнении. Шея и плечи должны быть расслаблены, губы не округлялись и не заворачивались внутрь рта, двигался язык, а нижняя челюсть оставалась неподвижной ( кроме упражнения «Гармошка»).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 xml:space="preserve">    </w:t>
      </w: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При выполнении ребенком артикуляционной гимнастики, нужно оценивать: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62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numPr>
          <w:ilvl w:val="0"/>
          <w:numId w:val="5"/>
        </w:numPr>
        <w:tabs>
          <w:tab w:val="clear" w:pos="709"/>
          <w:tab w:val="left" w:pos="396" w:leader="none"/>
        </w:tabs>
        <w:bidi w:val="0"/>
        <w:spacing w:lineRule="auto" w:line="240"/>
        <w:ind w:left="624" w:right="0" w:hanging="0"/>
        <w:jc w:val="both"/>
        <w:rPr/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плавность движений – движение выполняется без перерывов и толчков, легко, плавно, без подёргиваний;</w:t>
      </w:r>
    </w:p>
    <w:p>
      <w:pPr>
        <w:pStyle w:val="Normal"/>
        <w:widowControl/>
        <w:numPr>
          <w:ilvl w:val="0"/>
          <w:numId w:val="5"/>
        </w:numPr>
        <w:tabs>
          <w:tab w:val="clear" w:pos="709"/>
          <w:tab w:val="left" w:pos="396" w:leader="none"/>
        </w:tabs>
        <w:bidi w:val="0"/>
        <w:spacing w:lineRule="auto" w:line="240"/>
        <w:ind w:left="624" w:right="0" w:hanging="0"/>
        <w:jc w:val="both"/>
        <w:rPr/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дифференцированность движений – движение выполняется без сопутствующих движений других органов ( губ, нижней челюсти);</w:t>
      </w:r>
    </w:p>
    <w:p>
      <w:pPr>
        <w:pStyle w:val="Normal"/>
        <w:widowControl/>
        <w:tabs>
          <w:tab w:val="clear" w:pos="709"/>
          <w:tab w:val="left" w:pos="396" w:leader="none"/>
        </w:tabs>
        <w:bidi w:val="0"/>
        <w:spacing w:lineRule="auto" w:line="240"/>
        <w:ind w:left="624" w:right="0" w:hanging="0"/>
        <w:jc w:val="both"/>
        <w:rPr/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равномерность и симметричность движений – движения выполняются симметрично влево и вправо;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396" w:leader="none"/>
        </w:tabs>
        <w:bidi w:val="0"/>
        <w:spacing w:lineRule="auto" w:line="240"/>
        <w:ind w:left="624" w:right="0" w:hanging="0"/>
        <w:jc w:val="both"/>
        <w:rPr/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четкость – ребенок знает, как правильно выполнять это упражнение, как в упражнении должны быть расположены губы, зубы, как действует язык, старается выполнить движения четко, точно, в полном объеме;</w:t>
      </w:r>
    </w:p>
    <w:p>
      <w:pPr>
        <w:pStyle w:val="Normal"/>
        <w:widowControl/>
        <w:numPr>
          <w:ilvl w:val="0"/>
          <w:numId w:val="7"/>
        </w:numPr>
        <w:bidi w:val="0"/>
        <w:spacing w:lineRule="auto" w:line="240"/>
        <w:ind w:left="624" w:right="0" w:hanging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устойчивость – ребенок может удержать достигнутое положение губ и языка под счет взрослого; сначала взрослый считает от одного до пяти, затем длительность удерживания </w:t>
      </w: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положения постепенно увеличивается до десяти;</w:t>
      </w:r>
    </w:p>
    <w:p>
      <w:pPr>
        <w:pStyle w:val="Normal"/>
        <w:widowControl/>
        <w:numPr>
          <w:ilvl w:val="0"/>
          <w:numId w:val="8"/>
        </w:numPr>
        <w:bidi w:val="0"/>
        <w:spacing w:lineRule="auto" w:line="240"/>
        <w:ind w:left="624" w:right="0" w:hanging="57"/>
        <w:jc w:val="both"/>
        <w:rPr>
          <w:rFonts w:ascii="Times New Roman" w:hAnsi="Times New Roman"/>
          <w:sz w:val="24"/>
          <w:szCs w:val="24"/>
        </w:rPr>
      </w:pPr>
      <w:r>
        <w:rPr>
          <w:rFonts w:eastAsia="sans-serif"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переключаемость – умение быстро, плавно, легко многократно переходить от одного движения к другому при сохранении высокого качества выполнения упражнения.</w:t>
      </w:r>
    </w:p>
    <w:p>
      <w:pPr>
        <w:pStyle w:val="Normal"/>
        <w:widowControl/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 ребенка не получается какое-то движение, помогать ему (шпателем, ручкой чайной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ложки или просто чистым пальцем) при соблюдении  гигиенических требований (чистота рук и инвентаря).</w:t>
      </w:r>
    </w:p>
    <w:p>
      <w:pPr>
        <w:pStyle w:val="Normal"/>
        <w:widowControl/>
        <w:bidi w:val="0"/>
        <w:spacing w:lineRule="auto" w:line="2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lang w:val="ru-RU"/>
        </w:rPr>
        <w:t>В процессе выполнения гимнастики важно помнить о создании положительного эмоционального настроя у ребенка. Нельзя говорить ему, что он делает неправильно, лучше его подбодрить.</w:t>
      </w:r>
    </w:p>
    <w:p>
      <w:pPr>
        <w:pStyle w:val="Style18"/>
        <w:spacing w:lineRule="auto" w:line="2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Style18"/>
        <w:spacing w:lineRule="auto" w:lin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Регулярное выполнение артикуляционной гимнастики поможет:</w:t>
      </w:r>
    </w:p>
    <w:p>
      <w:pPr>
        <w:pStyle w:val="Style18"/>
        <w:widowControl/>
        <w:numPr>
          <w:ilvl w:val="0"/>
          <w:numId w:val="9"/>
        </w:numPr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улучшить кровоснабжение артикуляционных органов и их иннервацию (нервную проводимость);</w:t>
      </w:r>
    </w:p>
    <w:p>
      <w:pPr>
        <w:pStyle w:val="Style18"/>
        <w:widowControl/>
        <w:numPr>
          <w:ilvl w:val="0"/>
          <w:numId w:val="10"/>
        </w:numPr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улучшить подвижность артикуляционных органов;</w:t>
      </w:r>
    </w:p>
    <w:p>
      <w:pPr>
        <w:pStyle w:val="Style18"/>
        <w:widowControl/>
        <w:numPr>
          <w:ilvl w:val="0"/>
          <w:numId w:val="11"/>
        </w:numPr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укрепить мышечную систему языка, губ, щёк;</w:t>
      </w:r>
    </w:p>
    <w:p>
      <w:pPr>
        <w:pStyle w:val="Style18"/>
        <w:widowControl/>
        <w:numPr>
          <w:ilvl w:val="0"/>
          <w:numId w:val="12"/>
        </w:numPr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 ребёнка удерживать определённую артикуляционную позу;</w:t>
      </w:r>
    </w:p>
    <w:p>
      <w:pPr>
        <w:pStyle w:val="Style18"/>
        <w:widowControl/>
        <w:numPr>
          <w:ilvl w:val="0"/>
          <w:numId w:val="13"/>
        </w:numPr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уменьшить спастичность (напряжённость) артикуляционных органов;</w:t>
      </w:r>
    </w:p>
    <w:p>
      <w:pPr>
        <w:pStyle w:val="Style18"/>
        <w:widowControl/>
        <w:numPr>
          <w:ilvl w:val="0"/>
          <w:numId w:val="14"/>
        </w:numPr>
        <w:bidi w:val="0"/>
        <w:spacing w:lineRule="auto" w:line="240" w:before="0" w:after="14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подготовить ребёнка к правильному произношению звуков.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26"/>
          <w:szCs w:val="26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i w:val="false"/>
          <w:i w:val="false"/>
          <w:iCs w:val="false"/>
          <w:sz w:val="26"/>
          <w:szCs w:val="26"/>
        </w:rPr>
      </w:pPr>
      <w:r>
        <w:rPr>
          <w:rFonts w:ascii="Times New Roman" w:hAnsi="Times New Roman"/>
          <w:b/>
          <w:bCs/>
          <w:i w:val="false"/>
          <w:iCs w:val="false"/>
          <w:sz w:val="26"/>
          <w:szCs w:val="26"/>
        </w:rPr>
        <w:t>Основные упражнения артикуляционной гимнастики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Упражнения для губ 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«Улыбка»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Удерживание губ в улыбке. Зубы не видны.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«Хоботок» («Трубочка»)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Вытягивание губ вперед длинной трубочкой.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«Заборчик»</w:t>
      </w:r>
      <w:r>
        <w:rPr>
          <w:rFonts w:ascii="Times New Roman" w:hAnsi="Times New Roman"/>
          <w:sz w:val="24"/>
          <w:szCs w:val="24"/>
        </w:rPr>
        <w:t>. Губы растянуты в улыбке, зубы сомкнуты и видны.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«Окошечко»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Губы округлены и чуть вытянуты вперед. Верхние и нижние резцы видны.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Чередование положений губ («Улыбка-Трубочка»).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Упражнения для языка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«Наказать непослушный язычок»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Улыбнуться. Приоткрыть рот. Спокойно положить язык на нижнюю губу и, пошлёпывая его губами, произносить звуки пя-пя-пя. Удерживать язык в спокойном положении при открытом рте под счёт от 1 до 5 – 10. Следить, чтобы ребёнок не задерживал выдыхаемый воздух.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«Блинчик » ( «Лопатка»)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Рот открыт. Губы в улыбке. Положить широкий передний край языка на нижнюю губу и удерживать его в таком положении под счёт от 1 до 5 – 10. Следить, чтобы губы не были напряжены, не растягивались в широкую улыбку. Язык не высовывается далеко: он должен только накрывать нижнюю губу.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«Иголочка»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Рот приоткрыть. Узкий, напряжённый язык высунуть вперёд, как можно дальше.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«Змейка»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Сделать упражнение «Иголочка». Узкий язык, похожий на жало, максимально выдвигать вперёд и убирать вглубь рта.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«Парус»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Рот широко открыть. Узкий язык поднять вверх, коснуться бугорков (альвеол) за верхними зубами.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«Качели»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Рот открыт. Губы в улыбке. Широкий язык поднимается к носу и опускается к подбородку. Следить, чтобы язык не сужался, губы и нижняя челюсть были неподвижны, губы не натягивались на зубы.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«Маляр»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Сделать упражнение «Парус». Двигать кончиком языка по «потолочку» (поверхности нёба) вперёд – назад.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«Лошадка»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Рот открыт. Губы в улыбке. Широкий язык прижать к нёбу, со щелчком оторвать. Следить, чтобы губы были в улыбке, нижняя челюсть была неподвижна, а не «скакала» вместе с языком.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«Грибок»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Рот открыт. Губы в улыбке. Прижать широкий язык всей плоскостью к нёбу (язык присасывается) и удержать в таком положении под счёт от 1 до 5 -10. Следить, чтобы боковые края языка были плотно прижаты к нёбу, а губы не натягивались на зубы.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«Гармошка»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Рот открыт. Губы в улыбке. Широкий язык прижат к нёбу (язык присасывается) и, не опуская языка, раскрывать и закрывать рот. Следить, чтобы при открывании рта губы были в улыбке и оставались неподвижными, а язык не провисал.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«Автомат»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Рот открыт. Губы в улыбке. Напряжённым кончиком языка многократно и отчётливо произносить звук Т-Т-Т сначала медленно, постепенно убыстряя темп. Следить, чтобы губы и нижняя челюсть были неподвижны.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>«Барабан»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  <w:effect w:val="none"/>
        </w:rPr>
        <w:t xml:space="preserve"> 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То же самое при произношении звука Д-Д-Д. </w:t>
      </w:r>
    </w:p>
    <w:p>
      <w:pPr>
        <w:pStyle w:val="Style18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Упражнения для мышц мягкого неба и глотки.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Позевывание.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Глотание капелек воды, слюны. Можно набирать сладкую воду в пипетку и капать ребенку на мягкое небо, стимулируя глотание. 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Полоскание горла. </w:t>
      </w:r>
    </w:p>
    <w:p>
      <w:pPr>
        <w:pStyle w:val="Style18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Резкое отрывистое произнесение звуков: а-а-а; э-э-э; аэ-аэ-аэ. 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Покашливание. </w:t>
      </w:r>
    </w:p>
    <w:p>
      <w:pPr>
        <w:pStyle w:val="Style18"/>
        <w:spacing w:lineRule="auto" w:line="240"/>
        <w:jc w:val="both"/>
        <w:rPr>
          <w:rFonts w:ascii="Times New Roman;serif" w:hAnsi="Times New Roman;serif"/>
          <w:b/>
          <w:b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Упражнения для нижней челюсти.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 w:before="0" w:after="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Открывание и раскрывание рта. Причем, как свободное, так и с сопротивлением рукам взрослого. 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 w:before="0" w:after="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Жевательные движения. 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Движения нижней челюсти влево-вправо. </w:t>
      </w:r>
    </w:p>
    <w:p>
      <w:pPr>
        <w:pStyle w:val="Style18"/>
        <w:spacing w:lineRule="auto" w:line="240"/>
        <w:jc w:val="both"/>
        <w:rPr>
          <w:rFonts w:ascii="Times New Roman;serif" w:hAnsi="Times New Roman;serif"/>
          <w:b/>
          <w:b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Упражнения для щек.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 w:before="0" w:after="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Надувание щек: обеих одновременно и попеременно. 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 w:before="0" w:after="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Перегонка воды из одной щеки в другую. 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0" w:leader="none"/>
        </w:tabs>
        <w:spacing w:lineRule="auto" w:line="240"/>
        <w:ind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Втягивание щек в ротовую полость между зубами. </w:t>
      </w:r>
    </w:p>
    <w:p>
      <w:pPr>
        <w:pStyle w:val="Style18"/>
        <w:spacing w:lineRule="auto" w:line="240"/>
        <w:jc w:val="both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Style18"/>
        <w:spacing w:lineRule="auto" w:line="240"/>
        <w:jc w:val="both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Style18"/>
        <w:spacing w:lineRule="auto" w:line="240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Используемая литература:</w:t>
      </w:r>
    </w:p>
    <w:p>
      <w:pPr>
        <w:pStyle w:val="Normal"/>
        <w:numPr>
          <w:ilvl w:val="0"/>
          <w:numId w:val="0"/>
        </w:numPr>
        <w:spacing w:lineRule="auto" w:line="240" w:before="105" w:after="105"/>
        <w:jc w:val="left"/>
        <w:outlineLvl w:val="1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kern w:val="2"/>
          <w:sz w:val="24"/>
          <w:szCs w:val="24"/>
        </w:rPr>
        <w:t>Филичева Т. Б. и др. Основы логопедии: Учеб. пособие для студентов пед. ин-тов по спец. «Педагогика и психология (дошк.)» / Т. Б. Филичева, Н. А. Чевелева, Г. В. Чиркина.— М.: Просвещение, 1989.—223 с.: ил.</w:t>
      </w:r>
    </w:p>
    <w:p>
      <w:pPr>
        <w:pStyle w:val="Normal"/>
        <w:numPr>
          <w:ilvl w:val="0"/>
          <w:numId w:val="0"/>
        </w:numPr>
        <w:spacing w:lineRule="auto" w:line="240" w:before="105" w:after="105"/>
        <w:jc w:val="left"/>
        <w:outlineLvl w:val="1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kern w:val="2"/>
          <w:sz w:val="24"/>
          <w:szCs w:val="24"/>
        </w:rPr>
        <w:t>Резник Г.Э. «Методические рекомендации к «Тетради для логопедических занятий»., Издательство «Ранок»,2012</w:t>
      </w:r>
    </w:p>
    <w:p>
      <w:pPr>
        <w:pStyle w:val="Normal"/>
        <w:numPr>
          <w:ilvl w:val="0"/>
          <w:numId w:val="0"/>
        </w:numPr>
        <w:spacing w:lineRule="auto" w:line="240" w:before="105" w:after="105"/>
        <w:jc w:val="left"/>
        <w:outlineLvl w:val="1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kern w:val="2"/>
          <w:sz w:val="24"/>
          <w:szCs w:val="24"/>
        </w:rPr>
        <w:t>В.Н.Костыгина, «Тру-ля-ля», Издательский дом «Карапуз»</w:t>
      </w:r>
    </w:p>
    <w:p>
      <w:pPr>
        <w:pStyle w:val="Normal"/>
        <w:spacing w:lineRule="auto" w:line="240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orient="landscape" w:w="16838" w:h="11906"/>
      <w:pgMar w:left="170" w:right="170" w:header="0" w:top="170" w:footer="0" w:bottom="17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adea">
    <w:altName w:val="Cambria"/>
    <w:charset w:val="cc"/>
    <w:family w:val="roman"/>
    <w:pitch w:val="variable"/>
  </w:font>
  <w:font w:name="sans-serif">
    <w:altName w:val="Arial"/>
    <w:charset w:val="cc"/>
    <w:family w:val="roman"/>
    <w:pitch w:val="variable"/>
  </w:font>
  <w:font w:name="Times New Roman">
    <w:altName w:val="serif"/>
    <w:charset w:val="cc"/>
    <w:family w:val="roman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b w:val="false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  <w:color w:val="CE181E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  <w:color w:val="CE181E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  <w:color w:val="CE181E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  <w:color w:val="CE181E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  <w:color w:val="CE181E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  <w:color w:val="CE181E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  <w:color w:val="CE181E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  <w:color w:val="CE181E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  <w:color w:val="CE181E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CE181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  <w:color w:val="CE181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  <w:color w:val="CE181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CE181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  <w:color w:val="CE181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  <w:color w:val="CE181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CE181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  <w:color w:val="CE181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  <w:color w:val="CE181E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Выделение"/>
    <w:qFormat/>
    <w:rPr>
      <w:i/>
      <w:iCs/>
    </w:rPr>
  </w:style>
  <w:style w:type="character" w:styleId="ListLabel10">
    <w:name w:val="ListLabel 10"/>
    <w:qFormat/>
    <w:rPr>
      <w:rFonts w:ascii="Times New Roman" w:hAnsi="Times New Roman" w:cs="OpenSymbol"/>
      <w:b w:val="false"/>
      <w:color w:val="CE181E"/>
      <w:sz w:val="24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Style15">
    <w:name w:val="Выделение жирным"/>
    <w:qFormat/>
    <w:rPr>
      <w:b/>
      <w:bCs/>
    </w:rPr>
  </w:style>
  <w:style w:type="character" w:styleId="ListLabel19">
    <w:name w:val="ListLabel 19"/>
    <w:qFormat/>
    <w:rPr>
      <w:rFonts w:ascii="Times New Roman" w:hAnsi="Times New Roman" w:cs="OpenSymbol"/>
      <w:b w:val="false"/>
      <w:sz w:val="24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ascii="Times New Roman" w:hAnsi="Times New Roman" w:cs="OpenSymbol"/>
      <w:sz w:val="24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46">
    <w:name w:val="ListLabel 46"/>
    <w:qFormat/>
    <w:rPr>
      <w:rFonts w:ascii="Times New Roman" w:hAnsi="Times New Roman" w:cs="OpenSymbol"/>
      <w:sz w:val="24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Style16">
    <w:name w:val="Маркеры списка"/>
    <w:qFormat/>
    <w:rPr>
      <w:rFonts w:ascii="OpenSymbol" w:hAnsi="OpenSymbol" w:eastAsia="OpenSymbol" w:cs="OpenSymbol"/>
      <w:color w:val="CE181E"/>
    </w:rPr>
  </w:style>
  <w:style w:type="character" w:styleId="ListLabel55">
    <w:name w:val="ListLabel 55"/>
    <w:qFormat/>
    <w:rPr>
      <w:rFonts w:ascii="Cambria" w:hAnsi="Cambria" w:cs="OpenSymbol"/>
      <w:b w:val="false"/>
      <w:color w:val="CE181E"/>
      <w:sz w:val="24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  <w:color w:val="CE181E"/>
    </w:rPr>
  </w:style>
  <w:style w:type="character" w:styleId="ListLabel65">
    <w:name w:val="ListLabel 65"/>
    <w:qFormat/>
    <w:rPr>
      <w:rFonts w:cs="OpenSymbol"/>
      <w:color w:val="CE181E"/>
    </w:rPr>
  </w:style>
  <w:style w:type="character" w:styleId="ListLabel66">
    <w:name w:val="ListLabel 66"/>
    <w:qFormat/>
    <w:rPr>
      <w:rFonts w:cs="OpenSymbol"/>
      <w:color w:val="CE181E"/>
    </w:rPr>
  </w:style>
  <w:style w:type="character" w:styleId="ListLabel67">
    <w:name w:val="ListLabel 67"/>
    <w:qFormat/>
    <w:rPr>
      <w:rFonts w:cs="OpenSymbol"/>
      <w:color w:val="CE181E"/>
    </w:rPr>
  </w:style>
  <w:style w:type="character" w:styleId="ListLabel68">
    <w:name w:val="ListLabel 68"/>
    <w:qFormat/>
    <w:rPr>
      <w:rFonts w:cs="OpenSymbol"/>
      <w:color w:val="CE181E"/>
    </w:rPr>
  </w:style>
  <w:style w:type="character" w:styleId="ListLabel69">
    <w:name w:val="ListLabel 69"/>
    <w:qFormat/>
    <w:rPr>
      <w:rFonts w:cs="OpenSymbol"/>
      <w:color w:val="CE181E"/>
    </w:rPr>
  </w:style>
  <w:style w:type="character" w:styleId="ListLabel70">
    <w:name w:val="ListLabel 70"/>
    <w:qFormat/>
    <w:rPr>
      <w:rFonts w:cs="OpenSymbol"/>
      <w:color w:val="CE181E"/>
    </w:rPr>
  </w:style>
  <w:style w:type="character" w:styleId="ListLabel71">
    <w:name w:val="ListLabel 71"/>
    <w:qFormat/>
    <w:rPr>
      <w:rFonts w:cs="OpenSymbol"/>
      <w:color w:val="CE181E"/>
    </w:rPr>
  </w:style>
  <w:style w:type="character" w:styleId="ListLabel72">
    <w:name w:val="ListLabel 72"/>
    <w:qFormat/>
    <w:rPr>
      <w:rFonts w:cs="OpenSymbol"/>
      <w:color w:val="CE181E"/>
    </w:rPr>
  </w:style>
  <w:style w:type="character" w:styleId="ListLabel73">
    <w:name w:val="ListLabel 73"/>
    <w:qFormat/>
    <w:rPr>
      <w:rFonts w:cs="OpenSymbol"/>
      <w:color w:val="CE181E"/>
    </w:rPr>
  </w:style>
  <w:style w:type="character" w:styleId="ListLabel74">
    <w:name w:val="ListLabel 74"/>
    <w:qFormat/>
    <w:rPr>
      <w:rFonts w:cs="OpenSymbol"/>
      <w:color w:val="CE181E"/>
    </w:rPr>
  </w:style>
  <w:style w:type="character" w:styleId="ListLabel75">
    <w:name w:val="ListLabel 75"/>
    <w:qFormat/>
    <w:rPr>
      <w:rFonts w:cs="OpenSymbol"/>
      <w:color w:val="CE181E"/>
    </w:rPr>
  </w:style>
  <w:style w:type="character" w:styleId="ListLabel76">
    <w:name w:val="ListLabel 76"/>
    <w:qFormat/>
    <w:rPr>
      <w:rFonts w:cs="OpenSymbol"/>
      <w:color w:val="CE181E"/>
    </w:rPr>
  </w:style>
  <w:style w:type="character" w:styleId="ListLabel77">
    <w:name w:val="ListLabel 77"/>
    <w:qFormat/>
    <w:rPr>
      <w:rFonts w:cs="OpenSymbol"/>
      <w:color w:val="CE181E"/>
    </w:rPr>
  </w:style>
  <w:style w:type="character" w:styleId="ListLabel78">
    <w:name w:val="ListLabel 78"/>
    <w:qFormat/>
    <w:rPr>
      <w:rFonts w:cs="OpenSymbol"/>
      <w:color w:val="CE181E"/>
    </w:rPr>
  </w:style>
  <w:style w:type="character" w:styleId="ListLabel79">
    <w:name w:val="ListLabel 79"/>
    <w:qFormat/>
    <w:rPr>
      <w:rFonts w:cs="OpenSymbol"/>
      <w:color w:val="CE181E"/>
    </w:rPr>
  </w:style>
  <w:style w:type="character" w:styleId="ListLabel80">
    <w:name w:val="ListLabel 80"/>
    <w:qFormat/>
    <w:rPr>
      <w:rFonts w:cs="OpenSymbol"/>
      <w:color w:val="CE181E"/>
    </w:rPr>
  </w:style>
  <w:style w:type="character" w:styleId="ListLabel81">
    <w:name w:val="ListLabel 81"/>
    <w:qFormat/>
    <w:rPr>
      <w:rFonts w:cs="OpenSymbol"/>
      <w:color w:val="CE181E"/>
    </w:rPr>
  </w:style>
  <w:style w:type="character" w:styleId="ListLabel82">
    <w:name w:val="ListLabel 82"/>
    <w:qFormat/>
    <w:rPr>
      <w:rFonts w:cs="OpenSymbol"/>
      <w:color w:val="CE181E"/>
    </w:rPr>
  </w:style>
  <w:style w:type="character" w:styleId="ListLabel83">
    <w:name w:val="ListLabel 83"/>
    <w:qFormat/>
    <w:rPr>
      <w:rFonts w:cs="OpenSymbol"/>
      <w:color w:val="CE181E"/>
    </w:rPr>
  </w:style>
  <w:style w:type="character" w:styleId="ListLabel84">
    <w:name w:val="ListLabel 84"/>
    <w:qFormat/>
    <w:rPr>
      <w:rFonts w:cs="OpenSymbol"/>
      <w:color w:val="CE181E"/>
    </w:rPr>
  </w:style>
  <w:style w:type="character" w:styleId="ListLabel85">
    <w:name w:val="ListLabel 85"/>
    <w:qFormat/>
    <w:rPr>
      <w:rFonts w:cs="OpenSymbol"/>
      <w:color w:val="CE181E"/>
    </w:rPr>
  </w:style>
  <w:style w:type="character" w:styleId="ListLabel86">
    <w:name w:val="ListLabel 86"/>
    <w:qFormat/>
    <w:rPr>
      <w:rFonts w:cs="OpenSymbol"/>
      <w:color w:val="CE181E"/>
    </w:rPr>
  </w:style>
  <w:style w:type="character" w:styleId="ListLabel87">
    <w:name w:val="ListLabel 87"/>
    <w:qFormat/>
    <w:rPr>
      <w:rFonts w:cs="OpenSymbol"/>
      <w:color w:val="CE181E"/>
    </w:rPr>
  </w:style>
  <w:style w:type="character" w:styleId="ListLabel88">
    <w:name w:val="ListLabel 88"/>
    <w:qFormat/>
    <w:rPr>
      <w:rFonts w:cs="OpenSymbol"/>
      <w:color w:val="CE181E"/>
    </w:rPr>
  </w:style>
  <w:style w:type="character" w:styleId="ListLabel89">
    <w:name w:val="ListLabel 89"/>
    <w:qFormat/>
    <w:rPr>
      <w:rFonts w:cs="OpenSymbol"/>
      <w:color w:val="CE181E"/>
    </w:rPr>
  </w:style>
  <w:style w:type="character" w:styleId="ListLabel90">
    <w:name w:val="ListLabel 90"/>
    <w:qFormat/>
    <w:rPr>
      <w:rFonts w:cs="OpenSymbol"/>
      <w:color w:val="CE181E"/>
    </w:rPr>
  </w:style>
  <w:style w:type="character" w:styleId="ListLabel91">
    <w:name w:val="ListLabel 91"/>
    <w:qFormat/>
    <w:rPr>
      <w:rFonts w:ascii="Cambria" w:hAnsi="Cambria" w:cs="OpenSymbol"/>
      <w:b w:val="false"/>
      <w:color w:val="CE181E"/>
      <w:sz w:val="24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  <w:color w:val="CE181E"/>
    </w:rPr>
  </w:style>
  <w:style w:type="character" w:styleId="ListLabel101">
    <w:name w:val="ListLabel 101"/>
    <w:qFormat/>
    <w:rPr>
      <w:rFonts w:cs="OpenSymbol"/>
      <w:color w:val="CE181E"/>
    </w:rPr>
  </w:style>
  <w:style w:type="character" w:styleId="ListLabel102">
    <w:name w:val="ListLabel 102"/>
    <w:qFormat/>
    <w:rPr>
      <w:rFonts w:cs="OpenSymbol"/>
      <w:color w:val="CE181E"/>
    </w:rPr>
  </w:style>
  <w:style w:type="character" w:styleId="ListLabel103">
    <w:name w:val="ListLabel 103"/>
    <w:qFormat/>
    <w:rPr>
      <w:rFonts w:cs="OpenSymbol"/>
      <w:color w:val="CE181E"/>
    </w:rPr>
  </w:style>
  <w:style w:type="character" w:styleId="ListLabel104">
    <w:name w:val="ListLabel 104"/>
    <w:qFormat/>
    <w:rPr>
      <w:rFonts w:cs="OpenSymbol"/>
      <w:color w:val="CE181E"/>
    </w:rPr>
  </w:style>
  <w:style w:type="character" w:styleId="ListLabel105">
    <w:name w:val="ListLabel 105"/>
    <w:qFormat/>
    <w:rPr>
      <w:rFonts w:cs="OpenSymbol"/>
      <w:color w:val="CE181E"/>
    </w:rPr>
  </w:style>
  <w:style w:type="character" w:styleId="ListLabel106">
    <w:name w:val="ListLabel 106"/>
    <w:qFormat/>
    <w:rPr>
      <w:rFonts w:cs="OpenSymbol"/>
      <w:color w:val="CE181E"/>
    </w:rPr>
  </w:style>
  <w:style w:type="character" w:styleId="ListLabel107">
    <w:name w:val="ListLabel 107"/>
    <w:qFormat/>
    <w:rPr>
      <w:rFonts w:cs="OpenSymbol"/>
      <w:color w:val="CE181E"/>
    </w:rPr>
  </w:style>
  <w:style w:type="character" w:styleId="ListLabel108">
    <w:name w:val="ListLabel 108"/>
    <w:qFormat/>
    <w:rPr>
      <w:rFonts w:cs="OpenSymbol"/>
      <w:color w:val="CE181E"/>
    </w:rPr>
  </w:style>
  <w:style w:type="character" w:styleId="ListLabel109">
    <w:name w:val="ListLabel 109"/>
    <w:qFormat/>
    <w:rPr>
      <w:rFonts w:cs="OpenSymbol"/>
      <w:color w:val="CE181E"/>
    </w:rPr>
  </w:style>
  <w:style w:type="character" w:styleId="ListLabel110">
    <w:name w:val="ListLabel 110"/>
    <w:qFormat/>
    <w:rPr>
      <w:rFonts w:cs="OpenSymbol"/>
      <w:color w:val="CE181E"/>
    </w:rPr>
  </w:style>
  <w:style w:type="character" w:styleId="ListLabel111">
    <w:name w:val="ListLabel 111"/>
    <w:qFormat/>
    <w:rPr>
      <w:rFonts w:cs="OpenSymbol"/>
      <w:color w:val="CE181E"/>
    </w:rPr>
  </w:style>
  <w:style w:type="character" w:styleId="ListLabel112">
    <w:name w:val="ListLabel 112"/>
    <w:qFormat/>
    <w:rPr>
      <w:rFonts w:cs="OpenSymbol"/>
      <w:color w:val="CE181E"/>
    </w:rPr>
  </w:style>
  <w:style w:type="character" w:styleId="ListLabel113">
    <w:name w:val="ListLabel 113"/>
    <w:qFormat/>
    <w:rPr>
      <w:rFonts w:cs="OpenSymbol"/>
      <w:color w:val="CE181E"/>
    </w:rPr>
  </w:style>
  <w:style w:type="character" w:styleId="ListLabel114">
    <w:name w:val="ListLabel 114"/>
    <w:qFormat/>
    <w:rPr>
      <w:rFonts w:cs="OpenSymbol"/>
      <w:color w:val="CE181E"/>
    </w:rPr>
  </w:style>
  <w:style w:type="character" w:styleId="ListLabel115">
    <w:name w:val="ListLabel 115"/>
    <w:qFormat/>
    <w:rPr>
      <w:rFonts w:cs="OpenSymbol"/>
      <w:color w:val="CE181E"/>
    </w:rPr>
  </w:style>
  <w:style w:type="character" w:styleId="ListLabel116">
    <w:name w:val="ListLabel 116"/>
    <w:qFormat/>
    <w:rPr>
      <w:rFonts w:cs="OpenSymbol"/>
      <w:color w:val="CE181E"/>
    </w:rPr>
  </w:style>
  <w:style w:type="character" w:styleId="ListLabel117">
    <w:name w:val="ListLabel 117"/>
    <w:qFormat/>
    <w:rPr>
      <w:rFonts w:cs="OpenSymbol"/>
      <w:color w:val="CE181E"/>
    </w:rPr>
  </w:style>
  <w:style w:type="character" w:styleId="ListLabel118">
    <w:name w:val="ListLabel 118"/>
    <w:qFormat/>
    <w:rPr>
      <w:rFonts w:cs="OpenSymbol"/>
      <w:color w:val="CE181E"/>
    </w:rPr>
  </w:style>
  <w:style w:type="character" w:styleId="ListLabel119">
    <w:name w:val="ListLabel 119"/>
    <w:qFormat/>
    <w:rPr>
      <w:rFonts w:cs="OpenSymbol"/>
      <w:color w:val="CE181E"/>
    </w:rPr>
  </w:style>
  <w:style w:type="character" w:styleId="ListLabel120">
    <w:name w:val="ListLabel 120"/>
    <w:qFormat/>
    <w:rPr>
      <w:rFonts w:cs="OpenSymbol"/>
      <w:color w:val="CE181E"/>
    </w:rPr>
  </w:style>
  <w:style w:type="character" w:styleId="ListLabel121">
    <w:name w:val="ListLabel 121"/>
    <w:qFormat/>
    <w:rPr>
      <w:rFonts w:cs="OpenSymbol"/>
      <w:color w:val="CE181E"/>
    </w:rPr>
  </w:style>
  <w:style w:type="character" w:styleId="ListLabel122">
    <w:name w:val="ListLabel 122"/>
    <w:qFormat/>
    <w:rPr>
      <w:rFonts w:cs="OpenSymbol"/>
      <w:color w:val="CE181E"/>
    </w:rPr>
  </w:style>
  <w:style w:type="character" w:styleId="ListLabel123">
    <w:name w:val="ListLabel 123"/>
    <w:qFormat/>
    <w:rPr>
      <w:rFonts w:cs="OpenSymbol"/>
      <w:color w:val="CE181E"/>
    </w:rPr>
  </w:style>
  <w:style w:type="character" w:styleId="ListLabel124">
    <w:name w:val="ListLabel 124"/>
    <w:qFormat/>
    <w:rPr>
      <w:rFonts w:cs="OpenSymbol"/>
      <w:color w:val="CE181E"/>
    </w:rPr>
  </w:style>
  <w:style w:type="character" w:styleId="ListLabel125">
    <w:name w:val="ListLabel 125"/>
    <w:qFormat/>
    <w:rPr>
      <w:rFonts w:cs="OpenSymbol"/>
      <w:color w:val="CE181E"/>
    </w:rPr>
  </w:style>
  <w:style w:type="character" w:styleId="ListLabel126">
    <w:name w:val="ListLabel 126"/>
    <w:qFormat/>
    <w:rPr>
      <w:rFonts w:cs="OpenSymbol"/>
      <w:color w:val="CE181E"/>
    </w:rPr>
  </w:style>
  <w:style w:type="character" w:styleId="ListLabel1">
    <w:name w:val="ListLabel 1"/>
    <w:qFormat/>
    <w:rPr>
      <w:rFonts w:cs="OpenSymbol"/>
      <w:b w:val="false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37">
    <w:name w:val="ListLabel 37"/>
    <w:qFormat/>
    <w:rPr>
      <w:rFonts w:ascii="Times New Roman" w:hAnsi="Times New Roman" w:cs="OpenSymbol"/>
      <w:sz w:val="24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127">
    <w:name w:val="ListLabel 127"/>
    <w:qFormat/>
    <w:rPr>
      <w:rFonts w:ascii="Times New Roman" w:hAnsi="Times New Roman" w:cs="OpenSymbol"/>
      <w:sz w:val="24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ascii="Times New Roman" w:hAnsi="Times New Roman" w:cs="OpenSymbol"/>
      <w:sz w:val="24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264</TotalTime>
  <Application>LibreOffice/6.1.6.3$Windows_X86_64 LibreOffice_project/5896ab1714085361c45cf540f76f60673dd96a72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2019-08-13T14:48:34Z</dcterms:created>
  <dc:creator/>
  <dc:description/>
  <dc:language>ru-RU</dc:language>
  <cp:lastModifiedBy/>
  <cp:lastPrinted>2019-08-19T22:34:38Z</cp:lastPrinted>
  <dcterms:modified xsi:type="dcterms:W3CDTF">2019-12-22T12:48:03Z</dcterms:modified>
  <cp:revision>11</cp:revision>
  <dc:subject/>
  <dc:title/>
</cp:coreProperties>
</file>