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современном обществе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постепенно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оттесняется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компьютерными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технологиями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прочим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подобным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заменить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совета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помощи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поставлена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молодежь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активных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инициативных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компетентных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личностей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умеющих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успешно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преодолевать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жизненные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трудности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посредством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самостоятельных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Исходя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выше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сказанного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должен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формирующейся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активной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жизненной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позицией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наставником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помогающим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преодолевать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возникающие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трудности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обучения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социализации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образовательного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обучающегося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отвечающих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потребностям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современного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обучающегося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осуществляется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направленной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поиск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нового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индивидуальность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должен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устойчивую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мотивацию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учению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чувство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ответственности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перспективы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должен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успешным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духовно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нравственные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способствовать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саморазвитию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самосовершенствованию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организующий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социальное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становление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личности 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обладать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рядом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профессионально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личностных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ответственностью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умением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диалог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воспитанником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мнение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компетентным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влиять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саморазвитие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выстраивать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образовательный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усвоения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системы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умений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компетенций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личности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Несомненно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можно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утверждать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формирует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будущее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нашего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общества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.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