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caps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  <w:t>Включение в кружковую деятельность элементов общеобразовательной программы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Шаптала Наталья Викторовна</w:t>
      </w:r>
    </w:p>
    <w:p>
      <w:pPr>
        <w:pStyle w:val="Normal"/>
        <w:jc w:val="center"/>
        <w:rPr>
          <w:rFonts w:ascii="Cambria" w:hAnsi="Cambria" w:eastAsia="Times New Roman" w:cs="Times New Roman" w:asciiTheme="minorHAnsi" w:hAnsiTheme="minorHAnsi"/>
          <w:i/>
          <w:i/>
          <w:sz w:val="28"/>
          <w:szCs w:val="28"/>
        </w:rPr>
      </w:pPr>
      <w:bookmarkStart w:id="0" w:name="__DdeLink__70_1133799899"/>
      <w:bookmarkEnd w:id="0"/>
      <w:r>
        <w:rPr>
          <w:rFonts w:cs="Times New Roman" w:ascii="Times New Roman" w:hAnsi="Times New Roman"/>
          <w:i/>
          <w:sz w:val="24"/>
          <w:szCs w:val="24"/>
        </w:rPr>
        <w:t>МБУДО "ЮНОСТЬ"  г. Белгород, ул. Чапаева, 14,   308015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Одним из способов повышения интереса к </w:t>
      </w:r>
      <w:r>
        <w:rPr>
          <w:rFonts w:eastAsia="Times New Roman" w:cs="Times New Roman" w:ascii="Times New Roman" w:hAnsi="Times New Roman"/>
          <w:sz w:val="28"/>
          <w:szCs w:val="28"/>
        </w:rPr>
        <w:t>учебной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деятельности является включение в тематику занятий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материала из общеобразовательной программы. Взаимное проникновение учебных программ двух форм образования будет с одной стороны способствовать более глубокому осмыслению теоретического материала благодаря обогащению его практическими и наглядными  примерами применения и с другой стороны - формированию необходимой теоретической базы для успешного воплощения творческих идей на практике.  В качестве примера сотрудничества дополнительного и основного образования рассмотрим  взаимодействие работы кружка по декоративно-прикладному творчеству с учебной работой по технологии производства, математике и информатике. Так в рамках одного из занятий кружка “Волшебный фоамиран”, детям нужно выполнить проектирование национального костюма для предварительно созданного манекена (куклы) (рис. 1). 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Для успешного выполнения поставленного задания нужно справиться со следующими задачами: 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произвести разложение (декомпозицию) костюма на более простые элементы. В данном случае разложение производится на цилиндрические (рукава) и коническую (сарафан) части;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выполнить обмер полученных элементов;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полученным размерам составных элементов, таких как диаметр основания и высота  выполняются чертежи разверток;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расположить чертежи разверток на листе таким образом, чтобы обеспечить как можно более высокую плотность заполнения.</w:t>
      </w:r>
    </w:p>
    <w:p>
      <w:pPr>
        <w:pStyle w:val="Normal"/>
        <w:spacing w:lineRule="auto" w:line="360" w:before="0" w:after="0"/>
        <w:ind w:firstLine="709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945005" cy="391350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Рис.1. Русская народная кукла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Выполнение первой задачи, как правило, затруднения не вызывает.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декомпозиции и обмере учащимся сообщаются названия геометрических тел  и фигур, а также основные метрические понятия: высота,  длина,  диаметр, площадь, а также понятие развертки.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Построение бумажных разверток пространственных элементов требует несложных арифметических расчетов. Так, развертка цилиндрической поверхности представляет собой прямоугольник, одна сторона которого равна высоте цилиндра, а другая длине окружности основания, которую можно приближенно вычислить по формуле </w:t>
      </w:r>
      <w:r>
        <w:rPr>
          <w:rFonts w:eastAsia="Times New Roman" w:cs="Times New Roman" w:ascii="Times New Roman" w:hAnsi="Times New Roman"/>
          <w:sz w:val="28"/>
          <w:szCs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d</m:t>
        </m:r>
      </m:oMath>
      <w:r>
        <w:rPr>
          <w:rFonts w:eastAsia="Times New Roman" w:cs="Times New Roman" w:ascii="Times New Roman" w:hAnsi="Times New Roman"/>
          <w:sz w:val="28"/>
          <w:szCs w:val="28"/>
        </w:rPr>
        <w:t xml:space="preserve">, где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d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диаметр основания. Развертку конуса построить сложней. Развертка боковой поверхности конуса представляет собой круговой сектор. Его радиус равен длине образующей конической поверхности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l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а центральный угол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вычисляется по формуле </w:t>
      </w:r>
      <w:r>
        <w:rPr>
          <w:rFonts w:eastAsia="Times New Roman" w:cs="Times New Roman" w:ascii="Times New Roman" w:hAnsi="Times New Roman"/>
          <w:sz w:val="28"/>
          <w:szCs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ϕ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360</m:t>
        </m:r>
        <m:r>
          <w:rPr>
            <w:rFonts w:ascii="Cambria Math" w:hAnsi="Cambria Math"/>
          </w:rPr>
          <m:t xml:space="preserve">⋅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R</m:t>
            </m:r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</m:oMath>
      <w:r>
        <w:rPr>
          <w:rFonts w:eastAsia="Times New Roman" w:cs="Times New Roman" w:ascii="Times New Roman" w:hAnsi="Times New Roman"/>
          <w:sz w:val="28"/>
          <w:szCs w:val="28"/>
        </w:rPr>
        <w:t xml:space="preserve">. Здесь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R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радиус окружности основания конуса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[2]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3233420" cy="2579370"/>
            <wp:effectExtent l="0" t="0" r="0" b="0"/>
            <wp:docPr id="2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Рис. 2. Развертка кругового конуса</w:t>
      </w:r>
    </w:p>
    <w:p>
      <w:pPr>
        <w:pStyle w:val="Normal"/>
        <w:spacing w:lineRule="auto" w:line="360" w:before="0" w:after="0"/>
        <w:ind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следующем этапе выполнения задания формируется понятие рационального раскроя листового материала и понимание того, что для большого количества сложных деталей вручную выполнить данную задачу практически невозможно (рис. 3), после чего педагог дает представление о том, что задачи оптимального раскроя с минимальным отходом успешно решаются с использованием систем автоматизированного проектирования и станков с ЧПУ, с которыми они подробно познакомятся  при изучении информатики и технологии производства.  Данный и другие подобные примеры, требующие  выполнение разверток пространственных элементов в плоские,  позволят проводить работу по ранней профориентации, важность которой отметил В.В. Путин на форуме “Проектория” 26 ноября 2019 года. В качестве примеров отраслей, связанных с раскроем и обработкой листовых материалов можно назвать швейное, обувное производство, автомобильную, авиационную промышленность и другие.   </w:t>
      </w:r>
    </w:p>
    <w:p>
      <w:pPr>
        <w:pStyle w:val="Normal"/>
        <w:spacing w:lineRule="auto" w:line="360" w:before="0"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4067175" cy="2971800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24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Рис. 2. Пример фигурного раскроя в одной из специализированных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последствии, на уроках математики, изготовленные макеты и поделки могут использоваться в качестве наглядных пособий. 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Как показывают наблюдения, ненавязчивое использование элементов ранней социализации под контролем педагогов дает ребенку свободу выбора, поиска способов реализации творческого задания, подталкивает его к конструктивному общению со сверстниками.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Усложнение поделок должно быть поэтапным. Каждый этап должен быть самодостаточным, в результате которого получается законченная поделка с ограниченным набором свойств или функций. При этом сложность этапа должна быть подобрана так, чтобы обеспечить совпадение итога деятельности с целью, поставленной в начале занятия [3]. Новые качества, которыми предполагается наделить поделку на следующем занятии  должны быть достаточно выразительными чтобы поддерживать интерес к творческой деятельности. Возникающие трудности в ходе занятия должны предусматривать вариативность их преодоления.  Поэтому постановка задачи педагогом со временем должна производиться все в  более и более  общем виде, задавая основное направление, предполагающее не механическое повторение, а становление и работу творческой мысли школьника. 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показывают результаты исследований, наиболее выраженная мотивация к творческой деятельности обусловлена не частными успехами, а выявлением общих приемов, закономерностей при выполнении однотипных поделок. Полученный школьником опыт, подкрепленный теоретической базой из общеобразовательной программы позволит сформировать прочный фундамент знаний и понимание того, что овладение любой современной профессией требует всесторонней и достаточно глубокой общеобразовательной подготовки.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Взаимодействие педагогов различных уровней образования  может происходить в ходе личного общения, обмена опытом при проведении  внутришкольных, городских и региональных мероприятий.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Введение детей в мир взрослых вызывает восторг и психологическую разрядку,  способствует глубокому и осмысленному изучению школьной программы,  формированию широкого кругозора с раннего детства, что в свою очередь позволит в будущем более осознанно подойти к вопросу профессиональной ориентации школьников.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Литература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Бабичев С. (2018).  Оптимизация раскроя средствами T-FLEX,  САПР и Графика, С.68-72.</w:t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Перельма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Андрианов П.Н., Галагузова М.А. (1990). Развитие технического творчества младших школьников. “Просвещение”, Москва, Россия.</w:t>
      </w:r>
      <w:r>
        <w:rPr>
          <w:rFonts w:cs="Times New Roman" w:ascii="Times New Roman" w:hAnsi="Times New Roman"/>
          <w:sz w:val="28"/>
          <w:szCs w:val="28"/>
        </w:rPr>
        <w:t>н Я. Геометрия. (2019) Книга о том, что геометрия – нескучная наука. Изд-во: Издательский дом Мещерякова, 232 с.</w:t>
      </w:r>
    </w:p>
    <w:p>
      <w:pPr>
        <w:pStyle w:val="ListParagraph"/>
        <w:numPr>
          <w:ilvl w:val="0"/>
          <w:numId w:val="2"/>
        </w:numPr>
        <w:tabs>
          <w:tab w:val="left" w:pos="414" w:leader="none"/>
        </w:tabs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Андрианов П.Н., Галагузова М.А. (1990). Развитие технического творчества младших школьников. “Просвещение”, Москва, Россия.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5"/>
    <w:uiPriority w:val="99"/>
    <w:semiHidden/>
    <w:qFormat/>
    <w:rsid w:val="00c96e29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9d188e"/>
    <w:rPr>
      <w:rFonts w:ascii="Courier New" w:hAnsi="Courier New" w:eastAsia="Times New Roman" w:cs="Courier New"/>
      <w:sz w:val="20"/>
      <w:szCs w:val="20"/>
    </w:rPr>
  </w:style>
  <w:style w:type="character" w:styleId="Style9">
    <w:name w:val="Интернет-ссылка"/>
    <w:basedOn w:val="DefaultParagraphFont"/>
    <w:uiPriority w:val="99"/>
    <w:unhideWhenUsed/>
    <w:rsid w:val="0008483a"/>
    <w:rPr>
      <w:color w:val="0000FF"/>
      <w:u w:val="single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 w:cs="Wingdings"/>
      <w:sz w:val="28"/>
      <w:u w:val="none"/>
    </w:rPr>
  </w:style>
  <w:style w:type="character" w:styleId="ListLabel29">
    <w:name w:val="ListLabel 29"/>
    <w:qFormat/>
    <w:rPr>
      <w:rFonts w:cs="Wingdings 2"/>
      <w:u w:val="none"/>
    </w:rPr>
  </w:style>
  <w:style w:type="character" w:styleId="ListLabel30">
    <w:name w:val="ListLabel 30"/>
    <w:qFormat/>
    <w:rPr>
      <w:rFonts w:cs="OpenSymbol"/>
      <w:u w:val="none"/>
    </w:rPr>
  </w:style>
  <w:style w:type="character" w:styleId="ListLabel31">
    <w:name w:val="ListLabel 31"/>
    <w:qFormat/>
    <w:rPr>
      <w:rFonts w:cs="Wingdings"/>
      <w:u w:val="none"/>
    </w:rPr>
  </w:style>
  <w:style w:type="character" w:styleId="ListLabel32">
    <w:name w:val="ListLabel 32"/>
    <w:qFormat/>
    <w:rPr>
      <w:rFonts w:cs="Wingdings 2"/>
      <w:u w:val="none"/>
    </w:rPr>
  </w:style>
  <w:style w:type="character" w:styleId="ListLabel33">
    <w:name w:val="ListLabel 33"/>
    <w:qFormat/>
    <w:rPr>
      <w:rFonts w:cs="OpenSymbol"/>
      <w:u w:val="none"/>
    </w:rPr>
  </w:style>
  <w:style w:type="character" w:styleId="ListLabel34">
    <w:name w:val="ListLabel 34"/>
    <w:qFormat/>
    <w:rPr>
      <w:rFonts w:cs="Wingdings"/>
      <w:u w:val="none"/>
    </w:rPr>
  </w:style>
  <w:style w:type="character" w:styleId="ListLabel35">
    <w:name w:val="ListLabel 35"/>
    <w:qFormat/>
    <w:rPr>
      <w:rFonts w:cs="Wingdings 2"/>
      <w:u w:val="none"/>
    </w:rPr>
  </w:style>
  <w:style w:type="character" w:styleId="ListLabel36">
    <w:name w:val="ListLabel 36"/>
    <w:qFormat/>
    <w:rPr>
      <w:rFonts w:cs="OpenSymbol"/>
      <w:u w:val="none"/>
    </w:rPr>
  </w:style>
  <w:style w:type="character" w:styleId="ListLabel37">
    <w:name w:val="ListLabel 37"/>
    <w:qFormat/>
    <w:rPr>
      <w:rFonts w:ascii="Times New Roman" w:hAnsi="Times New Roman" w:cs="Wingdings"/>
      <w:sz w:val="28"/>
      <w:u w:val="none"/>
    </w:rPr>
  </w:style>
  <w:style w:type="character" w:styleId="ListLabel38">
    <w:name w:val="ListLabel 38"/>
    <w:qFormat/>
    <w:rPr>
      <w:rFonts w:cs="Wingdings 2"/>
      <w:u w:val="none"/>
    </w:rPr>
  </w:style>
  <w:style w:type="character" w:styleId="ListLabel39">
    <w:name w:val="ListLabel 39"/>
    <w:qFormat/>
    <w:rPr>
      <w:rFonts w:cs="OpenSymbol"/>
      <w:u w:val="none"/>
    </w:rPr>
  </w:style>
  <w:style w:type="character" w:styleId="ListLabel40">
    <w:name w:val="ListLabel 40"/>
    <w:qFormat/>
    <w:rPr>
      <w:rFonts w:cs="Wingdings"/>
      <w:u w:val="none"/>
    </w:rPr>
  </w:style>
  <w:style w:type="character" w:styleId="ListLabel41">
    <w:name w:val="ListLabel 41"/>
    <w:qFormat/>
    <w:rPr>
      <w:rFonts w:cs="Wingdings 2"/>
      <w:u w:val="none"/>
    </w:rPr>
  </w:style>
  <w:style w:type="character" w:styleId="ListLabel42">
    <w:name w:val="ListLabel 42"/>
    <w:qFormat/>
    <w:rPr>
      <w:rFonts w:cs="OpenSymbol"/>
      <w:u w:val="none"/>
    </w:rPr>
  </w:style>
  <w:style w:type="character" w:styleId="ListLabel43">
    <w:name w:val="ListLabel 43"/>
    <w:qFormat/>
    <w:rPr>
      <w:rFonts w:cs="Wingdings"/>
      <w:u w:val="none"/>
    </w:rPr>
  </w:style>
  <w:style w:type="character" w:styleId="ListLabel44">
    <w:name w:val="ListLabel 44"/>
    <w:qFormat/>
    <w:rPr>
      <w:rFonts w:cs="Wingdings 2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96e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26915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9d188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17ae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LibreOffice/5.1.6.2$Linux_X86_64 LibreOffice_project/10m0$Build-2</Application>
  <Pages>5</Pages>
  <Words>740</Words>
  <Characters>5377</Characters>
  <CharactersWithSpaces>6119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2019-11-29T04:17:00Z</dcterms:created>
  <dc:creator>happy</dc:creator>
  <dc:description/>
  <dc:language>ru-RU</dc:language>
  <cp:lastModifiedBy/>
  <dcterms:modified xsi:type="dcterms:W3CDTF">2019-12-23T22:44:54Z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